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E9EDB" w14:textId="2D1D02A0" w:rsidR="00ED4CEF" w:rsidRPr="0033471A" w:rsidRDefault="00ED4CEF" w:rsidP="003C6351">
      <w:pPr>
        <w:spacing w:after="0" w:line="276" w:lineRule="auto"/>
        <w:jc w:val="center"/>
        <w:rPr>
          <w:rFonts w:ascii="Times New Roman" w:hAnsi="Times New Roman" w:cs="Times New Roman"/>
          <w:b/>
          <w:sz w:val="28"/>
          <w:szCs w:val="28"/>
          <w:lang w:val="fr-FR"/>
        </w:rPr>
      </w:pPr>
      <w:r>
        <w:rPr>
          <w:rFonts w:ascii="Times New Roman" w:hAnsi="Times New Roman" w:cs="Times New Roman"/>
          <w:b/>
          <w:bCs/>
          <w:sz w:val="28"/>
          <w:szCs w:val="28"/>
          <w:lang w:val="fr-FR"/>
        </w:rPr>
        <w:t>NOTIFICATION DES DROITS ET OBLIGATIONS DU PRÉVENU/ DE L’ACCUSÉ LORS DE L'AUDIENCE PRINCIPALE</w:t>
      </w:r>
    </w:p>
    <w:p w14:paraId="14E49CCA" w14:textId="263B7A3B" w:rsidR="001130EA" w:rsidRPr="0033471A" w:rsidRDefault="001130EA" w:rsidP="003C6351">
      <w:pPr>
        <w:spacing w:after="0" w:line="276" w:lineRule="auto"/>
        <w:jc w:val="center"/>
        <w:rPr>
          <w:rFonts w:ascii="Times New Roman" w:hAnsi="Times New Roman" w:cs="Times New Roman"/>
          <w:b/>
          <w:sz w:val="24"/>
          <w:szCs w:val="24"/>
          <w:lang w:val="fr-FR"/>
        </w:rPr>
      </w:pPr>
      <w:r>
        <w:rPr>
          <w:rFonts w:ascii="Times New Roman" w:hAnsi="Times New Roman" w:cs="Times New Roman"/>
          <w:b/>
          <w:bCs/>
          <w:sz w:val="24"/>
          <w:szCs w:val="24"/>
          <w:lang w:val="fr-FR"/>
        </w:rPr>
        <w:t>(</w:t>
      </w:r>
      <w:r>
        <w:rPr>
          <w:rFonts w:ascii="Times New Roman" w:hAnsi="Times New Roman" w:cs="Times New Roman"/>
          <w:b/>
          <w:bCs/>
          <w:color w:val="333333"/>
          <w:sz w:val="24"/>
          <w:szCs w:val="24"/>
          <w:shd w:val="clear" w:color="auto" w:fill="FFFFFF"/>
          <w:lang w:val="fr-FR"/>
        </w:rPr>
        <w:t>Loi du 6 juin 1997 Code de procédure pénale, version en vigueur telle que publiée au Journal officiel [</w:t>
      </w:r>
      <w:r>
        <w:rPr>
          <w:rFonts w:ascii="Times New Roman" w:hAnsi="Times New Roman" w:cs="Times New Roman"/>
          <w:b/>
          <w:bCs/>
          <w:i/>
          <w:iCs/>
          <w:color w:val="333333"/>
          <w:sz w:val="24"/>
          <w:szCs w:val="24"/>
          <w:shd w:val="clear" w:color="auto" w:fill="FFFFFF"/>
          <w:lang w:val="fr-FR"/>
        </w:rPr>
        <w:t>de la République de Pologne</w:t>
      </w:r>
      <w:r>
        <w:rPr>
          <w:rFonts w:ascii="Times New Roman" w:hAnsi="Times New Roman" w:cs="Times New Roman"/>
          <w:b/>
          <w:bCs/>
          <w:color w:val="333333"/>
          <w:sz w:val="24"/>
          <w:szCs w:val="24"/>
          <w:shd w:val="clear" w:color="auto" w:fill="FFFFFF"/>
          <w:lang w:val="fr-FR"/>
        </w:rPr>
        <w:t>], 2025, n° 46, telle que modifiée.</w:t>
      </w:r>
      <w:r>
        <w:rPr>
          <w:rFonts w:ascii="Times New Roman" w:hAnsi="Times New Roman" w:cs="Times New Roman"/>
          <w:b/>
          <w:bCs/>
          <w:sz w:val="24"/>
          <w:szCs w:val="24"/>
          <w:lang w:val="fr-FR"/>
        </w:rPr>
        <w:t>)</w:t>
      </w:r>
    </w:p>
    <w:p w14:paraId="7860F752" w14:textId="77777777" w:rsidR="00ED4CEF" w:rsidRPr="0033471A" w:rsidRDefault="00ED4CEF" w:rsidP="003C6351">
      <w:pPr>
        <w:spacing w:after="0" w:line="276" w:lineRule="auto"/>
        <w:rPr>
          <w:rFonts w:ascii="Times New Roman" w:hAnsi="Times New Roman" w:cs="Times New Roman"/>
          <w:sz w:val="24"/>
          <w:szCs w:val="24"/>
          <w:lang w:val="fr-FR"/>
        </w:rPr>
      </w:pPr>
    </w:p>
    <w:p w14:paraId="3AFCF4BC" w14:textId="4E082978" w:rsidR="00ED4CEF" w:rsidRPr="0033471A" w:rsidRDefault="00ED4CEF" w:rsidP="003C6351">
      <w:pPr>
        <w:spacing w:after="0" w:line="276" w:lineRule="auto"/>
        <w:jc w:val="both"/>
        <w:rPr>
          <w:rFonts w:ascii="Times New Roman" w:hAnsi="Times New Roman" w:cs="Times New Roman"/>
          <w:sz w:val="24"/>
          <w:szCs w:val="24"/>
          <w:u w:val="single"/>
          <w:lang w:val="fr-FR"/>
        </w:rPr>
      </w:pPr>
      <w:r>
        <w:rPr>
          <w:rFonts w:ascii="Times New Roman" w:hAnsi="Times New Roman" w:cs="Times New Roman"/>
          <w:sz w:val="24"/>
          <w:szCs w:val="24"/>
          <w:u w:val="single"/>
          <w:lang w:val="fr-FR"/>
        </w:rPr>
        <w:t>Tout prévenu/accusé jouit des droits suivants :</w:t>
      </w:r>
    </w:p>
    <w:p w14:paraId="5E67279D" w14:textId="4E252E8B" w:rsidR="00E82F2D" w:rsidRPr="0033471A" w:rsidRDefault="001130EA" w:rsidP="003C6351">
      <w:pPr>
        <w:pStyle w:val="Akapitzlist"/>
        <w:numPr>
          <w:ilvl w:val="0"/>
          <w:numId w:val="6"/>
        </w:numPr>
        <w:spacing w:after="0" w:line="276" w:lineRule="auto"/>
        <w:ind w:left="426"/>
        <w:jc w:val="both"/>
        <w:rPr>
          <w:rFonts w:ascii="Times New Roman" w:hAnsi="Times New Roman" w:cs="Times New Roman"/>
          <w:sz w:val="24"/>
          <w:szCs w:val="24"/>
          <w:lang w:val="fr-FR"/>
        </w:rPr>
      </w:pPr>
      <w:r>
        <w:rPr>
          <w:rFonts w:ascii="Times New Roman" w:hAnsi="Times New Roman" w:cs="Times New Roman"/>
          <w:color w:val="333333"/>
          <w:sz w:val="24"/>
          <w:szCs w:val="24"/>
          <w:shd w:val="clear" w:color="auto" w:fill="FFFFFF"/>
          <w:lang w:val="fr-FR"/>
        </w:rPr>
        <w:t xml:space="preserve">L’accusé a le droit de se défendre, y compris le droit de se faire assister par un avocat (article 6 du CPP). Tout accusé placé en détention provisoire peut communiquer avec son avocat en l'absence d'autres personnes et par correspondance (article 73, paragraphe 1, du CPP). L’accusé ne peut avoir plus de trois avocats à la fois (article 77 du CPP) Un accusé qui n'a pas d'avocat de son choix peut demander qu'un avocat lui soit commis d'office s'il démontre de manière satisfaisante qu'il n'est pas en mesure de supporter les frais de sa défense sans compromettre sa subsistance et celle de sa famille. Le refus de désigner un avocat commis d’office ne peut être fondé sur le fait que l’accusé a bénéficié de l'aide juridictionnelle gratuite ou des services de conseil aux citoyens gratuits, visés dans la </w:t>
      </w:r>
      <w:r>
        <w:rPr>
          <w:rFonts w:ascii="Times New Roman" w:hAnsi="Times New Roman" w:cs="Times New Roman"/>
          <w:sz w:val="24"/>
          <w:szCs w:val="24"/>
          <w:shd w:val="clear" w:color="auto" w:fill="FFFFFF"/>
          <w:lang w:val="fr-FR"/>
        </w:rPr>
        <w:t>loi</w:t>
      </w:r>
      <w:r>
        <w:rPr>
          <w:rFonts w:ascii="Times New Roman" w:hAnsi="Times New Roman" w:cs="Times New Roman"/>
          <w:color w:val="333333"/>
          <w:sz w:val="24"/>
          <w:szCs w:val="24"/>
          <w:shd w:val="clear" w:color="auto" w:fill="FFFFFF"/>
          <w:lang w:val="fr-FR"/>
        </w:rPr>
        <w:t xml:space="preserve"> du 5 août 2015 relative à l'aide juridique gratuite, à l'orientation civique gratuite et à l'éducation juridique [</w:t>
      </w:r>
      <w:r>
        <w:rPr>
          <w:rFonts w:ascii="Times New Roman" w:hAnsi="Times New Roman" w:cs="Times New Roman"/>
          <w:i/>
          <w:iCs/>
          <w:color w:val="333333"/>
          <w:sz w:val="24"/>
          <w:szCs w:val="24"/>
          <w:shd w:val="clear" w:color="auto" w:fill="FFFFFF"/>
          <w:lang w:val="fr-FR"/>
        </w:rPr>
        <w:t>ustawa o nieodpłatnej pomocy prawnej</w:t>
      </w:r>
      <w:r>
        <w:rPr>
          <w:rFonts w:ascii="Times New Roman" w:hAnsi="Times New Roman" w:cs="Times New Roman"/>
          <w:color w:val="333333"/>
          <w:sz w:val="24"/>
          <w:szCs w:val="24"/>
          <w:shd w:val="clear" w:color="auto" w:fill="FFFFFF"/>
          <w:lang w:val="fr-FR"/>
        </w:rPr>
        <w:t>] (Journal officiel [</w:t>
      </w:r>
      <w:r>
        <w:rPr>
          <w:rFonts w:ascii="Times New Roman" w:hAnsi="Times New Roman" w:cs="Times New Roman"/>
          <w:i/>
          <w:iCs/>
          <w:color w:val="333333"/>
          <w:sz w:val="24"/>
          <w:szCs w:val="24"/>
          <w:shd w:val="clear" w:color="auto" w:fill="FFFFFF"/>
          <w:lang w:val="fr-FR"/>
        </w:rPr>
        <w:t>de la République de Pologne</w:t>
      </w:r>
      <w:r>
        <w:rPr>
          <w:rFonts w:ascii="Times New Roman" w:hAnsi="Times New Roman" w:cs="Times New Roman"/>
          <w:color w:val="333333"/>
          <w:sz w:val="24"/>
          <w:szCs w:val="24"/>
          <w:shd w:val="clear" w:color="auto" w:fill="FFFFFF"/>
          <w:lang w:val="fr-FR"/>
        </w:rPr>
        <w:t>], 2024, n° 1534). L'accusé peut également demander la désignation d'un avocat commis d'office afin d'accomplir un acte de procédure spécifique (article 78, paragraphes 1 et 2, du CPP). Dans une procédure pénale, l'accusé doit être assisté d'un avocat s'il est âgé de moins de 18 ans, s'il est sourd, muet ou aveugle, s'il existe un doute fondé quant à savoir si sa capacité à reconnaître la signification de l’acte ou à contrôler sa conduite n'était pas déficiente ou sensiblement altérée au moment où l'acte a été commis, s’il existe un doute raisonnable quant au fait que son état de santé mentale lui permet de participer à la procédure ou de se défendre de manière indépendante et raisonnable, et lorsque le tribunal l'estime nécessaire en raison d'autres circonstances faisant obstacle à la défense. Dans les cas susmentionnés, la participation de l’avocat de la défense est obligatoire au procès et aux audiences auxquelles la participation de l’accusé est obligatoire (article 79, paragraphes 1, 2 et 3, du CPP). L'accusé doit être assisté d'un avocat lors de la procédure devant le tribunal régional, même s'il est accusé d'un crime. Dans ce cas, la présence de l'avocat de la défense à l'audience principale est obligatoire (article 80 du CPP). Sur demande motivée de l'accusé ou de son avocat, le président ou le greffier du tribunal compétent pour connaître de l'affaire peut désigner un nouveau avocat en remplacement de l'ancien (article 81, paragraphe 2, du CPP). C'est l'accusé qui désigne son avocat ; tant que l'accusé en détention n'a pas désigné d’avocat, celui-ci peut être désigné par une autre personne. La désignation d'un avocat peut être effectuée par écrit ou par une déclaration consignée au procès-verbal de l'autorité chargée de la procédure pénale (article 83, paragraphes 1 et 2, du CPP) ;</w:t>
      </w:r>
    </w:p>
    <w:p w14:paraId="2FD6E8B1" w14:textId="4363AA44" w:rsidR="001130EA" w:rsidRPr="0033471A" w:rsidRDefault="001130EA" w:rsidP="003C6351">
      <w:pPr>
        <w:pStyle w:val="Akapitzlist"/>
        <w:numPr>
          <w:ilvl w:val="0"/>
          <w:numId w:val="6"/>
        </w:numPr>
        <w:spacing w:after="0" w:line="276" w:lineRule="auto"/>
        <w:ind w:left="426"/>
        <w:jc w:val="both"/>
        <w:rPr>
          <w:rFonts w:ascii="Times New Roman" w:hAnsi="Times New Roman" w:cs="Times New Roman"/>
          <w:sz w:val="24"/>
          <w:szCs w:val="24"/>
          <w:lang w:val="fr-FR"/>
        </w:rPr>
      </w:pPr>
      <w:r>
        <w:rPr>
          <w:rFonts w:ascii="Times New Roman" w:hAnsi="Times New Roman" w:cs="Times New Roman"/>
          <w:color w:val="333333"/>
          <w:sz w:val="24"/>
          <w:szCs w:val="24"/>
          <w:shd w:val="clear" w:color="auto" w:fill="FFFFFF"/>
          <w:lang w:val="fr-FR"/>
        </w:rPr>
        <w:t xml:space="preserve">Le tribunal ou le greffier, et, dans le cadre de l'instruction, le procureur ou toute autre autorité chargée de l'instruction, peut, à l'initiative ou avec le consentement de l'accusé et de la victime, renvoyer l'affaire devant une institution ou une personne habilitée à cet effet afin de mener une procédure de médiation entre la victime et l’accusé. Il est interdit d'interroger un médiateur en tant que témoin sur des faits dont il a eu connaissance de la </w:t>
      </w:r>
      <w:r>
        <w:rPr>
          <w:rFonts w:ascii="Times New Roman" w:hAnsi="Times New Roman" w:cs="Times New Roman"/>
          <w:color w:val="333333"/>
          <w:sz w:val="24"/>
          <w:szCs w:val="24"/>
          <w:shd w:val="clear" w:color="auto" w:fill="FFFFFF"/>
          <w:lang w:val="fr-FR"/>
        </w:rPr>
        <w:lastRenderedPageBreak/>
        <w:t xml:space="preserve">part de l'accusé ou de la victime dans le cadre de la procédure de médiation, à l'exception des informations relatives aux crimes visées à </w:t>
      </w:r>
      <w:r>
        <w:rPr>
          <w:rFonts w:ascii="Times New Roman" w:hAnsi="Times New Roman" w:cs="Times New Roman"/>
          <w:sz w:val="24"/>
          <w:szCs w:val="24"/>
          <w:shd w:val="clear" w:color="auto" w:fill="FFFFFF"/>
          <w:lang w:val="fr-FR"/>
        </w:rPr>
        <w:t>l'article 240, paragraphe 1</w:t>
      </w:r>
      <w:r>
        <w:rPr>
          <w:rFonts w:ascii="Times New Roman" w:hAnsi="Times New Roman" w:cs="Times New Roman"/>
          <w:color w:val="333333"/>
          <w:sz w:val="24"/>
          <w:szCs w:val="24"/>
          <w:shd w:val="clear" w:color="auto" w:fill="FFFFFF"/>
          <w:lang w:val="fr-FR"/>
        </w:rPr>
        <w:t xml:space="preserve"> du Code pénal. La participation de l'accusé et de la victime à la procédure de médiation est facultative (article 23a, paragraphes 1 et 4, du CPP) ;</w:t>
      </w:r>
    </w:p>
    <w:p w14:paraId="6187BBC2" w14:textId="6D531B59" w:rsidR="005233E9" w:rsidRPr="0033471A" w:rsidRDefault="00E3090D" w:rsidP="003C6351">
      <w:pPr>
        <w:pStyle w:val="Akapitzlist"/>
        <w:numPr>
          <w:ilvl w:val="0"/>
          <w:numId w:val="6"/>
        </w:numPr>
        <w:spacing w:after="0" w:line="276" w:lineRule="auto"/>
        <w:ind w:left="426"/>
        <w:jc w:val="both"/>
        <w:rPr>
          <w:rFonts w:ascii="Times New Roman" w:hAnsi="Times New Roman" w:cs="Times New Roman"/>
          <w:sz w:val="24"/>
          <w:szCs w:val="24"/>
          <w:lang w:val="fr-FR"/>
        </w:rPr>
      </w:pPr>
      <w:r>
        <w:rPr>
          <w:rFonts w:ascii="Times New Roman" w:hAnsi="Times New Roman" w:cs="Times New Roman"/>
          <w:color w:val="333333"/>
          <w:sz w:val="24"/>
          <w:szCs w:val="24"/>
          <w:shd w:val="clear" w:color="auto" w:fill="FFFFFF"/>
          <w:lang w:val="fr-FR"/>
        </w:rPr>
        <w:t>L'accusé a droit à l'assistance gratuite d'un interprète s'il ne maîtrise pas suffisamment la langue polonaise. À la demande de l'accusé ou de son avocat, un interprète doit également être convoqué afin de permettre à l'accusé de communiquer avec son avocat dans le cadre d'une procédure à laquelle l'accusé a le droit de participer. Une traduction de la décision de mise en accusation, de complément ou de modification de l'accusation, de l'acte d'accusation et de la décision susceptible de recours ou mettant fin à la procédure est signifiée à l’accusé ; avec l'accord de l’accusé, il suffit de lui notifier une traduction de la décision mettant fin à la procédure, si celle-ci n'est pas susceptible de recours (article 72, paragraphes 1, 2 et 3 du CPP) ;</w:t>
      </w:r>
    </w:p>
    <w:p w14:paraId="6966F80B" w14:textId="13F25C8A" w:rsidR="00E3090D" w:rsidRPr="0033471A" w:rsidRDefault="00E3090D" w:rsidP="003C6351">
      <w:pPr>
        <w:pStyle w:val="Akapitzlist"/>
        <w:numPr>
          <w:ilvl w:val="0"/>
          <w:numId w:val="6"/>
        </w:numPr>
        <w:spacing w:after="0" w:line="276" w:lineRule="auto"/>
        <w:ind w:left="426"/>
        <w:jc w:val="both"/>
        <w:rPr>
          <w:rFonts w:ascii="Times New Roman" w:hAnsi="Times New Roman" w:cs="Times New Roman"/>
          <w:sz w:val="24"/>
          <w:szCs w:val="24"/>
          <w:lang w:val="fr-FR"/>
        </w:rPr>
      </w:pPr>
      <w:r>
        <w:rPr>
          <w:rFonts w:ascii="Times New Roman" w:hAnsi="Times New Roman" w:cs="Times New Roman"/>
          <w:color w:val="333333"/>
          <w:sz w:val="24"/>
          <w:szCs w:val="24"/>
          <w:shd w:val="clear" w:color="auto" w:fill="FFFFFF"/>
          <w:lang w:val="fr-FR"/>
        </w:rPr>
        <w:t>L'accusé n'est pas tenu de prouver son innocence ni de fournir des preuves à son détriment (article 74, paragraphe 1, du CPP). L'administration de la preuve a lieu, soit à la demande des parties, soit d'office (article 167 du CPP). Dans la demande en production de preuve, il convient d'indiquer la nature de la preuve ainsi que les faits à établir. Il est également possible de préciser les modalités d'administration de la preuve (article 169, paragraphe 1, du CPP) ;</w:t>
      </w:r>
    </w:p>
    <w:p w14:paraId="7436F57D" w14:textId="7C9E9006" w:rsidR="00E3090D" w:rsidRPr="003C6351" w:rsidRDefault="00266201" w:rsidP="003C6351">
      <w:pPr>
        <w:pStyle w:val="Akapitzlist"/>
        <w:numPr>
          <w:ilvl w:val="0"/>
          <w:numId w:val="6"/>
        </w:numPr>
        <w:spacing w:after="0" w:line="276" w:lineRule="auto"/>
        <w:ind w:left="426"/>
        <w:jc w:val="both"/>
        <w:rPr>
          <w:rFonts w:ascii="Times New Roman" w:hAnsi="Times New Roman" w:cs="Times New Roman"/>
          <w:sz w:val="24"/>
          <w:szCs w:val="24"/>
        </w:rPr>
      </w:pPr>
      <w:r>
        <w:rPr>
          <w:rFonts w:ascii="Times New Roman" w:hAnsi="Times New Roman" w:cs="Times New Roman"/>
          <w:color w:val="333333"/>
          <w:sz w:val="24"/>
          <w:szCs w:val="24"/>
          <w:shd w:val="clear" w:color="auto" w:fill="FFFFFF"/>
          <w:lang w:val="fr-FR"/>
        </w:rPr>
        <w:t xml:space="preserve">Si l'accusé est âgé de moins de 18 ans ou s'il est sous tutelle, son représentant légal ou la personne sous la garde de laquelle l’accusé demeure peut accomplir en son nom toutes les formalités de procédure, et notamment former des recours, présenter des requêtes et désigner un avocat (article 76 du CPP). À la demande de l'accusé âgé de moins de 18 ans, son représentant légal ou la personne sous la garde de laquelle il demeure peut assister au procès ou à l’audience à laquelle il participe. Si l'accusé n'a pas de représentant légal ou de personne sous la garde de laquelle il demeure, ou si le président du tribunal estime que la participation de ces personnes peut entraîner une atteinte aux droits ou aux intérêts de l'accusé, n'est pas opportune pour son bien-être, empêche la tenue de l'audience ou du procès ou y fait obstacle de manière substantielle, l'accusé peut désigner une autre personne adulte. Si l'accusé n'a pas désigné une telle personne ou si le président estime que sa présence est susceptible de porter atteinte aux droits ou aux intérêts de l'accusé, qu'elle n'est pas dans l'intérêt de ce dernier, qu'elle empêche la tenue de l'audience ou du procès ou qu'elle les entrave de manière significative, le président désigne un assistant familial, tel que visé à </w:t>
      </w:r>
      <w:r>
        <w:rPr>
          <w:rFonts w:ascii="Times New Roman" w:hAnsi="Times New Roman" w:cs="Times New Roman"/>
          <w:sz w:val="24"/>
          <w:szCs w:val="24"/>
          <w:shd w:val="clear" w:color="auto" w:fill="FFFFFF"/>
          <w:lang w:val="fr-FR"/>
        </w:rPr>
        <w:t>l’article 12</w:t>
      </w:r>
      <w:r>
        <w:rPr>
          <w:rFonts w:ascii="Times New Roman" w:hAnsi="Times New Roman" w:cs="Times New Roman"/>
          <w:color w:val="333333"/>
          <w:sz w:val="24"/>
          <w:szCs w:val="24"/>
          <w:shd w:val="clear" w:color="auto" w:fill="FFFFFF"/>
          <w:lang w:val="fr-FR"/>
        </w:rPr>
        <w:t xml:space="preserve"> de la loi du 9 juin 2011 relative au soutien à la famille et au système de placement familial [</w:t>
      </w:r>
      <w:r>
        <w:rPr>
          <w:rFonts w:ascii="Times New Roman" w:hAnsi="Times New Roman" w:cs="Times New Roman"/>
          <w:i/>
          <w:iCs/>
          <w:color w:val="333333"/>
          <w:sz w:val="24"/>
          <w:szCs w:val="24"/>
          <w:shd w:val="clear" w:color="auto" w:fill="FFFFFF"/>
          <w:lang w:val="fr-FR"/>
        </w:rPr>
        <w:t>ustawa o wspieraniu rodziny i systemie pieczy zastępczej</w:t>
      </w:r>
      <w:r>
        <w:rPr>
          <w:rFonts w:ascii="Times New Roman" w:hAnsi="Times New Roman" w:cs="Times New Roman"/>
          <w:color w:val="333333"/>
          <w:sz w:val="24"/>
          <w:szCs w:val="24"/>
          <w:shd w:val="clear" w:color="auto" w:fill="FFFFFF"/>
          <w:lang w:val="fr-FR"/>
        </w:rPr>
        <w:t>](Journal officiel de 2024, n° 177, 742, 743, 858 et 1572). (article 76a, paragraphe 1, du CPP ;</w:t>
      </w:r>
    </w:p>
    <w:p w14:paraId="6A083CC0" w14:textId="294FDEA8" w:rsidR="00266201" w:rsidRPr="0033471A" w:rsidRDefault="008716FB" w:rsidP="003C6351">
      <w:pPr>
        <w:pStyle w:val="Akapitzlist"/>
        <w:numPr>
          <w:ilvl w:val="0"/>
          <w:numId w:val="6"/>
        </w:numPr>
        <w:spacing w:after="0" w:line="276" w:lineRule="auto"/>
        <w:ind w:left="426"/>
        <w:jc w:val="both"/>
        <w:rPr>
          <w:rFonts w:ascii="Times New Roman" w:hAnsi="Times New Roman" w:cs="Times New Roman"/>
          <w:sz w:val="24"/>
          <w:szCs w:val="24"/>
          <w:lang w:val="fr-FR"/>
        </w:rPr>
      </w:pPr>
      <w:r>
        <w:rPr>
          <w:rFonts w:ascii="Times New Roman" w:hAnsi="Times New Roman" w:cs="Times New Roman"/>
          <w:color w:val="333333"/>
          <w:sz w:val="24"/>
          <w:szCs w:val="24"/>
          <w:shd w:val="clear" w:color="auto" w:fill="FFFFFF"/>
          <w:lang w:val="fr-FR"/>
        </w:rPr>
        <w:t>Les parties et les tiers, s’ils démontrent un intérêt légitime à l'issue de la procédure, ont le droit d’assister à l'audience lorsque la loi le prévoit, à moins que leur présence ne soit obligatoire (article 96, paragraphe 1, du CPP) ;</w:t>
      </w:r>
    </w:p>
    <w:p w14:paraId="4A3150BD" w14:textId="518C678D" w:rsidR="008716FB" w:rsidRPr="003C6351" w:rsidRDefault="00084070" w:rsidP="003C6351">
      <w:pPr>
        <w:pStyle w:val="Akapitzlist"/>
        <w:numPr>
          <w:ilvl w:val="0"/>
          <w:numId w:val="6"/>
        </w:numPr>
        <w:spacing w:after="0" w:line="276" w:lineRule="auto"/>
        <w:ind w:left="426"/>
        <w:jc w:val="both"/>
        <w:rPr>
          <w:rFonts w:ascii="Times New Roman" w:hAnsi="Times New Roman" w:cs="Times New Roman"/>
          <w:sz w:val="24"/>
          <w:szCs w:val="24"/>
        </w:rPr>
      </w:pPr>
      <w:r>
        <w:rPr>
          <w:rFonts w:ascii="Times New Roman" w:hAnsi="Times New Roman" w:cs="Times New Roman"/>
          <w:color w:val="333333"/>
          <w:sz w:val="24"/>
          <w:szCs w:val="24"/>
          <w:shd w:val="clear" w:color="auto" w:fill="FFFFFF"/>
          <w:lang w:val="fr-FR"/>
        </w:rPr>
        <w:t xml:space="preserve">Le jugement est notifié aux personnes habilitées à former un recours, si la loi le prévoit. La décision ou l'ordonnance rendue en dehors de l'audience et susceptible de recours est signifiée aux parties admises à former ce recours, tandis que la décision mettant fin à la procédure est signifiée aux parties, à moins qu'elles n'aient été présentes lors de la notification de la décision ou de l'ordonnance. La décision, accompagnée de ses motifs, est </w:t>
      </w:r>
      <w:r>
        <w:rPr>
          <w:rFonts w:ascii="Times New Roman" w:hAnsi="Times New Roman" w:cs="Times New Roman"/>
          <w:color w:val="333333"/>
          <w:sz w:val="24"/>
          <w:szCs w:val="24"/>
          <w:shd w:val="clear" w:color="auto" w:fill="FFFFFF"/>
          <w:lang w:val="fr-FR"/>
        </w:rPr>
        <w:lastRenderedPageBreak/>
        <w:t>également signifiée aux parties, si la rédaction des motifs de la décision a été reportée pour une durée maximale de sept jours. Les parties doivent être informées du contenu des autres décisions et ordonnances rendues en dehors de l'audience et de la séance, ainsi que de celles rendues lors d'une séance dont la date ne leur a pas été notifiée. (article 100, paragraphes 3, 4 et 5 du CPP) ;</w:t>
      </w:r>
    </w:p>
    <w:p w14:paraId="126D713B" w14:textId="1FD89691" w:rsidR="00CE0C18" w:rsidRPr="0033471A" w:rsidRDefault="00485C27" w:rsidP="003C6351">
      <w:pPr>
        <w:pStyle w:val="Akapitzlist"/>
        <w:numPr>
          <w:ilvl w:val="0"/>
          <w:numId w:val="6"/>
        </w:numPr>
        <w:spacing w:after="0" w:line="276" w:lineRule="auto"/>
        <w:ind w:left="426"/>
        <w:jc w:val="both"/>
        <w:rPr>
          <w:rFonts w:ascii="Times New Roman" w:hAnsi="Times New Roman" w:cs="Times New Roman"/>
          <w:sz w:val="24"/>
          <w:szCs w:val="24"/>
          <w:lang w:val="fr-FR"/>
        </w:rPr>
      </w:pPr>
      <w:r>
        <w:rPr>
          <w:rFonts w:ascii="Times New Roman" w:hAnsi="Times New Roman" w:cs="Times New Roman"/>
          <w:color w:val="333333"/>
          <w:sz w:val="24"/>
          <w:szCs w:val="24"/>
          <w:shd w:val="clear" w:color="auto" w:fill="FFFFFF"/>
          <w:lang w:val="fr-FR"/>
        </w:rPr>
        <w:t>Les décisions judiciaires et les ordonnances sont signifiées en copies certifiées conformes lorsque la loi prescrit leur signification (article 128, paragraphe 1, du CPP) ;</w:t>
      </w:r>
    </w:p>
    <w:p w14:paraId="531507F3" w14:textId="4941A292" w:rsidR="00434123" w:rsidRPr="0033471A" w:rsidRDefault="00434123" w:rsidP="003C6351">
      <w:pPr>
        <w:pStyle w:val="Akapitzlist"/>
        <w:numPr>
          <w:ilvl w:val="0"/>
          <w:numId w:val="6"/>
        </w:numPr>
        <w:spacing w:after="0" w:line="276" w:lineRule="auto"/>
        <w:ind w:left="426"/>
        <w:jc w:val="both"/>
        <w:rPr>
          <w:rFonts w:ascii="Times New Roman" w:hAnsi="Times New Roman" w:cs="Times New Roman"/>
          <w:sz w:val="24"/>
          <w:szCs w:val="24"/>
          <w:lang w:val="fr-FR"/>
        </w:rPr>
      </w:pPr>
      <w:r>
        <w:rPr>
          <w:rFonts w:ascii="Times New Roman" w:hAnsi="Times New Roman" w:cs="Times New Roman"/>
          <w:color w:val="333333"/>
          <w:sz w:val="24"/>
          <w:szCs w:val="24"/>
          <w:shd w:val="clear" w:color="auto" w:fill="FFFFFF"/>
          <w:lang w:val="fr-FR"/>
        </w:rPr>
        <w:t>En outre, le déroulement des opérations consignées dans un procès-verbal peut être enregistré au moyen d'un dispositif d'enregistrement d'images ou de sons, dont les personnes participant à l’opération concernée doivent être informées avant que le dispositif ne soit activé. La partie concernée a le droit de recevoir, moyennant paiement, une copie de l'enregistrement vidéo ou audio. Cela ne s'applique pas au déroulement de l'audience ni à toute autre procédure se déroulant à huis clos. Pour des motifs importants, justifiés par la protection de l’intérêt privé des personnes participant à l'audience, le président du tribunal peut refuser d'autoriser la remise aux parties d'une copie de l'enregistrement vidéo de l'audience (article 147, paragraphes 1 et 4, du CPP). Les personnes ayant participé à un acte de procédure ont le droit de demander la lecture des extraits de leurs déclarations consignés au procès-verbal (article 148, paragraphe 4, du CPP) ;</w:t>
      </w:r>
    </w:p>
    <w:p w14:paraId="7606A0A4" w14:textId="13A2EA31" w:rsidR="008C26DC" w:rsidRPr="003C6351" w:rsidRDefault="008C26DC" w:rsidP="003C6351">
      <w:pPr>
        <w:pStyle w:val="Akapitzlist"/>
        <w:numPr>
          <w:ilvl w:val="0"/>
          <w:numId w:val="6"/>
        </w:numPr>
        <w:spacing w:after="0" w:line="276" w:lineRule="auto"/>
        <w:ind w:left="426"/>
        <w:jc w:val="both"/>
        <w:rPr>
          <w:rFonts w:ascii="Times New Roman" w:hAnsi="Times New Roman" w:cs="Times New Roman"/>
          <w:sz w:val="24"/>
          <w:szCs w:val="24"/>
        </w:rPr>
      </w:pPr>
      <w:r>
        <w:rPr>
          <w:rFonts w:ascii="Times New Roman" w:hAnsi="Times New Roman" w:cs="Times New Roman"/>
          <w:color w:val="333333"/>
          <w:sz w:val="24"/>
          <w:szCs w:val="24"/>
          <w:shd w:val="clear" w:color="auto" w:fill="FFFFFF"/>
          <w:lang w:val="fr-FR"/>
        </w:rPr>
        <w:t>Les parties ont accès au dossier et ont la possibilité d'en faire des extraits ou des copies. Les informations relatives au dossier peuvent également être mises à disposition par le biais d'un système informatique, pour autant que cela ne soit pas empêché par des contraintes techniques. À la demande de l'accusé ou de son avocat, des copies de pièces du dossier sont délivrées moyennant paiement Les copies réalisées par les soins propres sont gratuites. Lorsqu'il existe un risque de divulgation d'informations classifiées « secret » ou « très secret », la consultation des dossiers, la réalisation de copies certifiées conformes ou de copies de dossiers sont soumises aux conditions fixées par le président de la juridiction ou la juridiction. Aucune copie certifiée conforme ni une copie simple n’est délivrée, sauf disposition contraire de la loi. (article 156, paragraphes 1, 2 et 4 du CPP) ;</w:t>
      </w:r>
    </w:p>
    <w:p w14:paraId="6379D267" w14:textId="53D4C511" w:rsidR="008C26DC" w:rsidRPr="003C6351" w:rsidRDefault="00453E89" w:rsidP="003C6351">
      <w:pPr>
        <w:pStyle w:val="Akapitzlist"/>
        <w:numPr>
          <w:ilvl w:val="0"/>
          <w:numId w:val="6"/>
        </w:numPr>
        <w:spacing w:after="0" w:line="276" w:lineRule="auto"/>
        <w:ind w:left="426"/>
        <w:jc w:val="both"/>
        <w:rPr>
          <w:rFonts w:ascii="Times New Roman" w:hAnsi="Times New Roman" w:cs="Times New Roman"/>
          <w:sz w:val="24"/>
          <w:szCs w:val="24"/>
        </w:rPr>
      </w:pPr>
      <w:r>
        <w:rPr>
          <w:rFonts w:ascii="Times New Roman" w:hAnsi="Times New Roman" w:cs="Times New Roman"/>
          <w:color w:val="333333"/>
          <w:sz w:val="24"/>
          <w:szCs w:val="24"/>
          <w:shd w:val="clear" w:color="auto" w:fill="FFFFFF"/>
          <w:lang w:val="fr-FR"/>
        </w:rPr>
        <w:t>Les parties ainsi que les personnes directement concernées par la décision reçoivent gratuitement, sur demande, une copie certifiée conforme de la décision. La copie est délivrée accompagnée de l’exposé des motifs, s'il en a été établi un. Dans les cas où le public est exclu pour des raisons d'intérêt public important, les personnes visées au paragraphe 1 ne reçoivent qu'une copie de la décision mettant fin à la procédure à une instance particulière, sans exposé des motifs. Une partie ne peut se voir refuser l'autorisation de faire une copie du procès-verbal d'un acte de procédure à laquelle elle a participé ou avait le droit de participer, ainsi que d'un document émanant d'elle ou établi avec sa participation. (article 157, paragraphes 1, 2 et 3 du CPP) ;</w:t>
      </w:r>
    </w:p>
    <w:p w14:paraId="2498FA17" w14:textId="164E5BA5" w:rsidR="00AA5D55" w:rsidRPr="0033471A" w:rsidRDefault="00AA5D55" w:rsidP="003C6351">
      <w:pPr>
        <w:pStyle w:val="Akapitzlist"/>
        <w:numPr>
          <w:ilvl w:val="0"/>
          <w:numId w:val="6"/>
        </w:numPr>
        <w:spacing w:after="0" w:line="276" w:lineRule="auto"/>
        <w:ind w:left="426"/>
        <w:jc w:val="both"/>
        <w:rPr>
          <w:rFonts w:ascii="Times New Roman" w:hAnsi="Times New Roman" w:cs="Times New Roman"/>
          <w:sz w:val="24"/>
          <w:szCs w:val="24"/>
          <w:lang w:val="fr-FR"/>
        </w:rPr>
      </w:pPr>
      <w:r>
        <w:rPr>
          <w:rFonts w:ascii="Times New Roman" w:hAnsi="Times New Roman" w:cs="Times New Roman"/>
          <w:color w:val="333333"/>
          <w:sz w:val="24"/>
          <w:szCs w:val="24"/>
          <w:shd w:val="clear" w:color="auto" w:fill="FFFFFF"/>
          <w:lang w:val="fr-FR"/>
        </w:rPr>
        <w:t>Avant le premier interrogatoire, l'accusé âgé de moins de 18 ans est informé du déroulement, des modalités et des conditions de l’interrogatoire. Les informations comprennent une représentation descriptive ou graphique du déroulement, des modalités et des conditions de l’interrogatoire. Un délai d'au moins trois jours doit s'écouler entre la notification des informations et la date de l’interrogatoire, à moins que le bon déroulement de la procédure ne s'y oppose (article 171, paragraphes 8 et 9, du CPP) ;</w:t>
      </w:r>
    </w:p>
    <w:p w14:paraId="571E88B4" w14:textId="272C5EFA" w:rsidR="00240EA6" w:rsidRPr="0033471A" w:rsidRDefault="00240EA6" w:rsidP="003C6351">
      <w:pPr>
        <w:pStyle w:val="Akapitzlist"/>
        <w:numPr>
          <w:ilvl w:val="0"/>
          <w:numId w:val="6"/>
        </w:numPr>
        <w:spacing w:after="0" w:line="276" w:lineRule="auto"/>
        <w:ind w:left="426"/>
        <w:jc w:val="both"/>
        <w:rPr>
          <w:rFonts w:ascii="Times New Roman" w:hAnsi="Times New Roman" w:cs="Times New Roman"/>
          <w:sz w:val="24"/>
          <w:szCs w:val="24"/>
          <w:lang w:val="fr-FR"/>
        </w:rPr>
      </w:pPr>
      <w:r>
        <w:rPr>
          <w:rFonts w:ascii="Times New Roman" w:hAnsi="Times New Roman" w:cs="Times New Roman"/>
          <w:color w:val="333333"/>
          <w:sz w:val="24"/>
          <w:szCs w:val="24"/>
          <w:shd w:val="clear" w:color="auto" w:fill="FFFFFF"/>
          <w:lang w:val="fr-FR"/>
        </w:rPr>
        <w:lastRenderedPageBreak/>
        <w:t>L'accusé a le droit de faire une déposition ; il peut toutefois, sans avoir à se justifier, refuser de répondre à certaines questions ou refuser de s’exprimer. L'accusé, qui assiste à l’administration des preuves, a le droit de s’exprimer sur tout élément de preuve (article 175, paragraphes 1 et 2 du CPP) ;</w:t>
      </w:r>
    </w:p>
    <w:p w14:paraId="6C445BE8" w14:textId="605EA240" w:rsidR="00240EA6" w:rsidRPr="0033471A" w:rsidRDefault="00240EA6" w:rsidP="003C6351">
      <w:pPr>
        <w:pStyle w:val="Akapitzlist"/>
        <w:numPr>
          <w:ilvl w:val="0"/>
          <w:numId w:val="6"/>
        </w:numPr>
        <w:spacing w:after="0" w:line="276" w:lineRule="auto"/>
        <w:ind w:left="426"/>
        <w:jc w:val="both"/>
        <w:rPr>
          <w:rFonts w:ascii="Times New Roman" w:hAnsi="Times New Roman" w:cs="Times New Roman"/>
          <w:sz w:val="24"/>
          <w:szCs w:val="24"/>
          <w:lang w:val="fr-FR"/>
        </w:rPr>
      </w:pPr>
      <w:r>
        <w:rPr>
          <w:rFonts w:ascii="Times New Roman" w:hAnsi="Times New Roman" w:cs="Times New Roman"/>
          <w:color w:val="333333"/>
          <w:sz w:val="24"/>
          <w:szCs w:val="24"/>
          <w:shd w:val="clear" w:color="auto" w:fill="FFFFFF"/>
          <w:lang w:val="fr-FR"/>
        </w:rPr>
        <w:t>L'accusé peut à tout moment présenter une requête en révocation ou en modification de la mesure préventive ; la requête est examinée, au plus tard dans les trois jours, par le procureur général et, après la présentation de l'acte d'accusation au tribunal, la requête est examinée par le tribunal devant lequel l'affaire est pendante (article 254, paragraphe 1, du CPP) ;</w:t>
      </w:r>
    </w:p>
    <w:p w14:paraId="298359ED" w14:textId="015E5B23" w:rsidR="00FE4BDB" w:rsidRPr="003C6351" w:rsidRDefault="00C66FA6" w:rsidP="003C6351">
      <w:pPr>
        <w:pStyle w:val="Akapitzlist"/>
        <w:numPr>
          <w:ilvl w:val="0"/>
          <w:numId w:val="6"/>
        </w:numPr>
        <w:spacing w:after="0" w:line="276" w:lineRule="auto"/>
        <w:ind w:left="426"/>
        <w:jc w:val="both"/>
        <w:rPr>
          <w:rFonts w:ascii="Times New Roman" w:hAnsi="Times New Roman" w:cs="Times New Roman"/>
          <w:sz w:val="24"/>
          <w:szCs w:val="24"/>
        </w:rPr>
      </w:pPr>
      <w:r>
        <w:rPr>
          <w:rFonts w:ascii="Times New Roman" w:hAnsi="Times New Roman" w:cs="Times New Roman"/>
          <w:color w:val="333333"/>
          <w:sz w:val="24"/>
          <w:szCs w:val="24"/>
          <w:shd w:val="clear" w:color="auto" w:fill="FFFFFF"/>
          <w:lang w:val="fr-FR"/>
        </w:rPr>
        <w:t>Il doit s'écouler au moins sept jours entre la notification et la date de l'audience principale. En cas de non-respect de ce délai, l'audience est ajournée à la demande de l'accusé ou de son avocat, formulée avant le début de l'instruction à l’audience. Lors de la notification de la date de l’audience à un accusé en détention dont la présence à l'audience n'est pas obligatoire, celui-ci devrait être informé de son droit de demander à être amené au procès dans un délai de sept jours à compter de la signification de cette notification. Une demande visant à faire comparaître l'accusé à l'audience, déposée après la date limite visée au paragraphe 3, est prise en considération si cela n'entraîne pas la nécessité de reporter la date de l'audience. (article 353, paragraphes 1, 2, 3 et 5 du CPP) ;</w:t>
      </w:r>
    </w:p>
    <w:p w14:paraId="1BDAEBB0" w14:textId="2E2C632C" w:rsidR="002124E5" w:rsidRPr="00805394" w:rsidRDefault="002124E5" w:rsidP="003C6351">
      <w:pPr>
        <w:pStyle w:val="Akapitzlist"/>
        <w:numPr>
          <w:ilvl w:val="0"/>
          <w:numId w:val="6"/>
        </w:numPr>
        <w:spacing w:after="0" w:line="276" w:lineRule="auto"/>
        <w:ind w:left="426"/>
        <w:jc w:val="both"/>
        <w:rPr>
          <w:rFonts w:ascii="Times New Roman" w:hAnsi="Times New Roman" w:cs="Times New Roman"/>
          <w:sz w:val="24"/>
          <w:szCs w:val="24"/>
        </w:rPr>
      </w:pPr>
      <w:r>
        <w:rPr>
          <w:rFonts w:ascii="Times New Roman" w:hAnsi="Times New Roman" w:cs="Times New Roman"/>
          <w:color w:val="333333"/>
          <w:sz w:val="24"/>
          <w:szCs w:val="24"/>
          <w:shd w:val="clear" w:color="auto" w:fill="FFFFFF"/>
          <w:lang w:val="fr-FR"/>
        </w:rPr>
        <w:t>L’accusé a le droit d'assister à l’audience. Le président ou le tribunal peut juger sa présence obligatoire.</w:t>
      </w:r>
      <w:r>
        <w:rPr>
          <w:rFonts w:ascii="Times New Roman" w:hAnsi="Times New Roman" w:cs="Times New Roman"/>
          <w:sz w:val="24"/>
          <w:szCs w:val="24"/>
          <w:lang w:val="fr-FR"/>
        </w:rPr>
        <w:t xml:space="preserve"> </w:t>
      </w:r>
      <w:r>
        <w:rPr>
          <w:rFonts w:ascii="Times New Roman" w:hAnsi="Times New Roman" w:cs="Times New Roman"/>
          <w:color w:val="333333"/>
          <w:sz w:val="24"/>
          <w:szCs w:val="24"/>
          <w:shd w:val="clear" w:color="auto" w:fill="FFFFFF"/>
          <w:lang w:val="fr-FR"/>
        </w:rPr>
        <w:t>En cas de crime, la présence de l'accusé lors des actes visées aux articles 385 et 386 est obligatoire.</w:t>
      </w:r>
      <w:r>
        <w:rPr>
          <w:rFonts w:ascii="Times New Roman" w:hAnsi="Times New Roman" w:cs="Times New Roman"/>
          <w:sz w:val="24"/>
          <w:szCs w:val="24"/>
          <w:lang w:val="fr-FR"/>
        </w:rPr>
        <w:t xml:space="preserve"> </w:t>
      </w:r>
      <w:r>
        <w:rPr>
          <w:rFonts w:ascii="Times New Roman" w:hAnsi="Times New Roman" w:cs="Times New Roman"/>
          <w:color w:val="333333"/>
          <w:sz w:val="24"/>
          <w:szCs w:val="24"/>
          <w:shd w:val="clear" w:color="auto" w:fill="FFFFFF"/>
          <w:lang w:val="fr-FR"/>
        </w:rPr>
        <w:t>Le président peut rendre une ordonnance afin d'empêcher l'accusé de quitter le tribunal avant la fin de l'audience.</w:t>
      </w:r>
      <w:r>
        <w:rPr>
          <w:rFonts w:ascii="Times New Roman" w:hAnsi="Times New Roman" w:cs="Times New Roman"/>
          <w:sz w:val="24"/>
          <w:szCs w:val="24"/>
          <w:lang w:val="fr-FR"/>
        </w:rPr>
        <w:t xml:space="preserve"> </w:t>
      </w:r>
      <w:r>
        <w:rPr>
          <w:rFonts w:ascii="Times New Roman" w:hAnsi="Times New Roman" w:cs="Times New Roman"/>
          <w:color w:val="333333"/>
          <w:sz w:val="24"/>
          <w:szCs w:val="24"/>
          <w:shd w:val="clear" w:color="auto" w:fill="FFFFFF"/>
          <w:lang w:val="fr-FR"/>
        </w:rPr>
        <w:t>Le président, à la demande du procureur, autorise ce dernier à assister à l’audience au moyen de dispositifs techniques permettant la participation à distance avec transmission simultanée et en direct de l'image et du son, pour autant qu'aucun obstacle technique ne s'y oppose.</w:t>
      </w:r>
      <w:r>
        <w:rPr>
          <w:rFonts w:ascii="Times New Roman" w:hAnsi="Times New Roman" w:cs="Times New Roman"/>
          <w:sz w:val="24"/>
          <w:szCs w:val="24"/>
          <w:lang w:val="fr-FR"/>
        </w:rPr>
        <w:t xml:space="preserve"> </w:t>
      </w:r>
      <w:r>
        <w:rPr>
          <w:rFonts w:ascii="Times New Roman" w:hAnsi="Times New Roman" w:cs="Times New Roman"/>
          <w:color w:val="333333"/>
          <w:sz w:val="24"/>
          <w:szCs w:val="24"/>
          <w:shd w:val="clear" w:color="auto" w:fill="FFFFFF"/>
          <w:lang w:val="fr-FR"/>
        </w:rPr>
        <w:t>Le président peut dispenser de l'obligation de comparaître à l'audience l'accusé, le partie civile ou le plaignant qui se trouvent en détention, si la participation de ces parties à l'audience est assurée au moyen de dispositifs techniques permettant une participation à distance avec transmission simultanée et en direct de l'image et du son.</w:t>
      </w:r>
      <w:r>
        <w:rPr>
          <w:rFonts w:ascii="Times New Roman" w:hAnsi="Times New Roman" w:cs="Times New Roman"/>
          <w:sz w:val="24"/>
          <w:szCs w:val="24"/>
          <w:lang w:val="fr-FR"/>
        </w:rPr>
        <w:t>Dans ce cas</w:t>
      </w:r>
      <w:r>
        <w:rPr>
          <w:rFonts w:ascii="Times New Roman" w:hAnsi="Times New Roman" w:cs="Times New Roman"/>
          <w:color w:val="333333"/>
          <w:sz w:val="24"/>
          <w:szCs w:val="24"/>
          <w:shd w:val="clear" w:color="auto" w:fill="FFFFFF"/>
          <w:lang w:val="fr-FR"/>
        </w:rPr>
        <w:t>, l'audience se déroule, au lieu où se trouve la partie, en présence d'un greffier ou d'un assistant du juge, employé par le tribunal dont relève le lieu où se trouve la partie, ou d'un représentant de l'administration de l'établissement pénitentiaire ou de la maison d'arrêt, si la partie se trouve dans un établissement pénitentiaire ou une maison d’arrêt.</w:t>
      </w:r>
      <w:r>
        <w:rPr>
          <w:rFonts w:ascii="Times New Roman" w:hAnsi="Times New Roman" w:cs="Times New Roman"/>
          <w:sz w:val="24"/>
          <w:szCs w:val="24"/>
          <w:lang w:val="fr-FR"/>
        </w:rPr>
        <w:t xml:space="preserve"> </w:t>
      </w:r>
      <w:r>
        <w:rPr>
          <w:rFonts w:ascii="Times New Roman" w:hAnsi="Times New Roman" w:cs="Times New Roman"/>
          <w:color w:val="333333"/>
          <w:sz w:val="24"/>
          <w:szCs w:val="24"/>
          <w:shd w:val="clear" w:color="auto" w:fill="FFFFFF"/>
          <w:lang w:val="fr-FR"/>
        </w:rPr>
        <w:t>L'avocat de la défense assiste à l'audience menée selon les modalités prévues au paragraphe 4 sur le lieu où se trouve l'accusé, à moins qu'il ne comparaisse à cette fin au tribunal</w:t>
      </w:r>
      <w:r>
        <w:rPr>
          <w:rFonts w:ascii="Times New Roman" w:hAnsi="Times New Roman" w:cs="Times New Roman"/>
          <w:sz w:val="24"/>
          <w:szCs w:val="24"/>
          <w:lang w:val="fr-FR"/>
        </w:rPr>
        <w:t xml:space="preserve">. </w:t>
      </w:r>
      <w:r>
        <w:rPr>
          <w:rFonts w:ascii="Times New Roman" w:hAnsi="Times New Roman" w:cs="Times New Roman"/>
          <w:color w:val="333333"/>
          <w:sz w:val="24"/>
          <w:szCs w:val="24"/>
          <w:shd w:val="clear" w:color="auto" w:fill="FFFFFF"/>
          <w:lang w:val="fr-FR"/>
        </w:rPr>
        <w:t>Lorsque l'avocat de la défense participe à l'audience depuis un lieu différent de celui où se trouve l'accusé, le tribunal peut, à la demande de l’accusé ou de l’avocat de la défense, ordonner une suspension pour une durée déterminée, en vue de la poursuite de l’audience le jour même, afin de permettre à l’avocat de la défense de communiquer par téléphone avec l’accusé, à moins que l’introduction de cette demande ne serve manifestement pas l’exercice du droit à la défense et vise notamment à perturber ou à prolonger indûment l’audience.</w:t>
      </w:r>
      <w:r>
        <w:rPr>
          <w:rFonts w:ascii="Times New Roman" w:hAnsi="Times New Roman" w:cs="Times New Roman"/>
          <w:sz w:val="24"/>
          <w:szCs w:val="24"/>
          <w:lang w:val="fr-FR"/>
        </w:rPr>
        <w:t xml:space="preserve"> </w:t>
      </w:r>
      <w:r>
        <w:rPr>
          <w:rFonts w:ascii="Times New Roman" w:hAnsi="Times New Roman" w:cs="Times New Roman"/>
          <w:color w:val="333333"/>
          <w:sz w:val="24"/>
          <w:szCs w:val="24"/>
          <w:shd w:val="clear" w:color="auto" w:fill="FFFFFF"/>
          <w:lang w:val="fr-FR"/>
        </w:rPr>
        <w:t xml:space="preserve">Si la présence d'un interprète est nécessaire lors d'une audience menée selon les modalités prévues au paragraphe  4, l'interprète assiste à l'audience au lieu de séjour de l'accusé ne maîtrisant pas suffisamment la langue polonaise ou au lieu de séjour de la personne pour laquelle les </w:t>
      </w:r>
      <w:r>
        <w:rPr>
          <w:rFonts w:ascii="Times New Roman" w:hAnsi="Times New Roman" w:cs="Times New Roman"/>
          <w:color w:val="333333"/>
          <w:sz w:val="24"/>
          <w:szCs w:val="24"/>
          <w:shd w:val="clear" w:color="auto" w:fill="FFFFFF"/>
          <w:lang w:val="fr-FR"/>
        </w:rPr>
        <w:lastRenderedPageBreak/>
        <w:t>circonstances visées à l'article 204, paragraphe 1, point 1, s'appliquent, sauf décision contraire du président.</w:t>
      </w:r>
      <w:r>
        <w:rPr>
          <w:rFonts w:ascii="Times New Roman" w:hAnsi="Times New Roman" w:cs="Times New Roman"/>
          <w:sz w:val="24"/>
          <w:szCs w:val="24"/>
          <w:lang w:val="fr-FR"/>
        </w:rPr>
        <w:t xml:space="preserve"> (art. 374, paragraphes 1 à 8, du CPP.)</w:t>
      </w:r>
    </w:p>
    <w:p w14:paraId="01780E3E" w14:textId="0DC64F82" w:rsidR="00805394" w:rsidRPr="0033471A" w:rsidRDefault="00805394" w:rsidP="00805394">
      <w:pPr>
        <w:pStyle w:val="Akapitzlist"/>
        <w:numPr>
          <w:ilvl w:val="0"/>
          <w:numId w:val="6"/>
        </w:numPr>
        <w:shd w:val="clear" w:color="auto" w:fill="FFFFFF"/>
        <w:spacing w:before="72" w:after="0" w:line="240" w:lineRule="auto"/>
        <w:ind w:left="426" w:hanging="66"/>
        <w:jc w:val="both"/>
        <w:rPr>
          <w:rFonts w:ascii="Times New Roman" w:eastAsia="Times New Roman" w:hAnsi="Times New Roman" w:cs="Times New Roman"/>
          <w:color w:val="333333"/>
          <w:sz w:val="24"/>
          <w:szCs w:val="24"/>
          <w:lang w:val="fr-FR"/>
        </w:rPr>
      </w:pPr>
      <w:r>
        <w:rPr>
          <w:rFonts w:ascii="Times New Roman" w:eastAsia="Times New Roman" w:hAnsi="Times New Roman" w:cs="Times New Roman"/>
          <w:color w:val="333333"/>
          <w:sz w:val="24"/>
          <w:szCs w:val="24"/>
          <w:lang w:val="fr-FR"/>
        </w:rPr>
        <w:t> Si le président, en ordonnant une suspension de l'audience, fixe simultanément la date et le lieu de la reprise de celle-ci, les personnes présentes à l'audience suspendue, dont la présence était obligatoire, sont tenues de se présenter à la nouvelle date sans qu'il soit nécessaire de les convoquer. Les personnes habilitées à comparaître n'ont pas besoin d'être informées de la nouvelle date, même si elles n'ont pas assisté à l'audience suspendue (article 402, paragraphe 1).</w:t>
      </w:r>
    </w:p>
    <w:p w14:paraId="77E54A40" w14:textId="77777777" w:rsidR="00805394" w:rsidRPr="0033471A" w:rsidRDefault="00805394" w:rsidP="00805394">
      <w:pPr>
        <w:pStyle w:val="Akapitzlist"/>
        <w:spacing w:after="0" w:line="276" w:lineRule="auto"/>
        <w:ind w:left="426"/>
        <w:jc w:val="both"/>
        <w:rPr>
          <w:rFonts w:ascii="Times New Roman" w:hAnsi="Times New Roman" w:cs="Times New Roman"/>
          <w:sz w:val="24"/>
          <w:szCs w:val="24"/>
          <w:lang w:val="fr-FR"/>
        </w:rPr>
      </w:pPr>
    </w:p>
    <w:p w14:paraId="3E315941" w14:textId="6AAD4538" w:rsidR="00E82F2D" w:rsidRPr="0033471A" w:rsidRDefault="00E82F2D" w:rsidP="003C6351">
      <w:pPr>
        <w:spacing w:after="0" w:line="276" w:lineRule="auto"/>
        <w:jc w:val="both"/>
        <w:rPr>
          <w:rFonts w:ascii="Times New Roman" w:hAnsi="Times New Roman" w:cs="Times New Roman"/>
          <w:sz w:val="24"/>
          <w:szCs w:val="24"/>
          <w:lang w:val="fr-FR"/>
        </w:rPr>
      </w:pPr>
    </w:p>
    <w:p w14:paraId="39996D70" w14:textId="2E46A7A5" w:rsidR="00E82F2D" w:rsidRPr="0033471A" w:rsidRDefault="00E82F2D" w:rsidP="003C6351">
      <w:pPr>
        <w:spacing w:after="0" w:line="276" w:lineRule="auto"/>
        <w:jc w:val="both"/>
        <w:rPr>
          <w:rFonts w:ascii="Times New Roman" w:hAnsi="Times New Roman" w:cs="Times New Roman"/>
          <w:sz w:val="24"/>
          <w:szCs w:val="24"/>
          <w:u w:val="single"/>
          <w:lang w:val="fr-FR"/>
        </w:rPr>
      </w:pPr>
      <w:r>
        <w:rPr>
          <w:rFonts w:ascii="Times New Roman" w:hAnsi="Times New Roman" w:cs="Times New Roman"/>
          <w:sz w:val="24"/>
          <w:szCs w:val="24"/>
          <w:u w:val="single"/>
          <w:lang w:val="fr-FR"/>
        </w:rPr>
        <w:t>L'accusé est soumis aux obligations suivantes :</w:t>
      </w:r>
    </w:p>
    <w:p w14:paraId="7DA8642B" w14:textId="77777777" w:rsidR="00E3090D" w:rsidRPr="0033471A" w:rsidRDefault="00E3090D" w:rsidP="003C6351">
      <w:pPr>
        <w:pStyle w:val="Akapitzlist"/>
        <w:numPr>
          <w:ilvl w:val="0"/>
          <w:numId w:val="7"/>
        </w:numPr>
        <w:spacing w:after="0" w:line="276" w:lineRule="auto"/>
        <w:ind w:left="426"/>
        <w:jc w:val="both"/>
        <w:rPr>
          <w:rFonts w:ascii="Times New Roman" w:hAnsi="Times New Roman" w:cs="Times New Roman"/>
          <w:sz w:val="24"/>
          <w:szCs w:val="24"/>
          <w:u w:val="single"/>
          <w:lang w:val="fr-FR"/>
        </w:rPr>
      </w:pPr>
      <w:r>
        <w:rPr>
          <w:rFonts w:ascii="Times New Roman" w:eastAsia="Times New Roman" w:hAnsi="Times New Roman" w:cs="Times New Roman"/>
          <w:color w:val="333333"/>
          <w:sz w:val="24"/>
          <w:szCs w:val="24"/>
          <w:shd w:val="clear" w:color="auto" w:fill="FFFFFF"/>
          <w:lang w:val="fr-FR"/>
        </w:rPr>
        <w:t>L'accusé est tenu de se soumettre à :</w:t>
      </w:r>
    </w:p>
    <w:p w14:paraId="3483B978" w14:textId="77777777" w:rsidR="00E3090D" w:rsidRPr="0033471A" w:rsidRDefault="00E3090D" w:rsidP="003C6351">
      <w:pPr>
        <w:pStyle w:val="Akapitzlist"/>
        <w:numPr>
          <w:ilvl w:val="0"/>
          <w:numId w:val="8"/>
        </w:numPr>
        <w:spacing w:after="0" w:line="276" w:lineRule="auto"/>
        <w:ind w:left="709"/>
        <w:jc w:val="both"/>
        <w:rPr>
          <w:rFonts w:ascii="Times New Roman" w:hAnsi="Times New Roman" w:cs="Times New Roman"/>
          <w:sz w:val="24"/>
          <w:szCs w:val="24"/>
          <w:u w:val="single"/>
          <w:lang w:val="fr-FR"/>
        </w:rPr>
      </w:pPr>
      <w:r>
        <w:rPr>
          <w:rFonts w:ascii="Times New Roman" w:eastAsia="Times New Roman" w:hAnsi="Times New Roman" w:cs="Times New Roman"/>
          <w:color w:val="333333"/>
          <w:sz w:val="24"/>
          <w:szCs w:val="24"/>
          <w:lang w:val="fr-FR"/>
        </w:rPr>
        <w:t>un examen externe du corps et à d'autres examens n'entraînant pas d'atteinte à l'intégrité physique ; il est également permis, en particulier, de relever ses empreintes digitales, de le photographier et de le présenter à d'autres personnes à des fins d'identification ;</w:t>
      </w:r>
    </w:p>
    <w:p w14:paraId="189C2B27" w14:textId="68D4A017" w:rsidR="00E3090D" w:rsidRPr="0033471A" w:rsidRDefault="00E3090D" w:rsidP="003C6351">
      <w:pPr>
        <w:pStyle w:val="Akapitzlist"/>
        <w:numPr>
          <w:ilvl w:val="0"/>
          <w:numId w:val="8"/>
        </w:numPr>
        <w:spacing w:after="0" w:line="276" w:lineRule="auto"/>
        <w:ind w:left="709"/>
        <w:jc w:val="both"/>
        <w:rPr>
          <w:rFonts w:ascii="Times New Roman" w:hAnsi="Times New Roman" w:cs="Times New Roman"/>
          <w:sz w:val="24"/>
          <w:szCs w:val="24"/>
          <w:u w:val="single"/>
          <w:lang w:val="fr-FR"/>
        </w:rPr>
      </w:pPr>
      <w:r>
        <w:rPr>
          <w:rFonts w:ascii="Times New Roman" w:eastAsia="Times New Roman" w:hAnsi="Times New Roman" w:cs="Times New Roman"/>
          <w:color w:val="333333"/>
          <w:sz w:val="24"/>
          <w:szCs w:val="24"/>
          <w:lang w:val="fr-FR"/>
        </w:rPr>
        <w:t>des examens psychologiques et psychiatriques ainsi qu'à des examens impliquant des interventions sur son corps, à l'exception des interventions chirurgicales, à condition qu'ils soient effectués par un professionnel de santé habilité à cet effet, dans le respect des principes de la médecine, et qu'ils ne mettent pas en danger la santé de l'accusé, si la réalisation de ces examens est indispensable ; en particulier, l'accusé est tenu, dans le respect de ces conditions, de se soumettre à des prélèvements de sang, de cheveux ou de sécrétions corporelles ;</w:t>
      </w:r>
    </w:p>
    <w:p w14:paraId="3C6BFBC6" w14:textId="400E72F0" w:rsidR="00E3090D" w:rsidRPr="0033471A" w:rsidRDefault="00E3090D" w:rsidP="003C6351">
      <w:pPr>
        <w:pStyle w:val="Akapitzlist"/>
        <w:numPr>
          <w:ilvl w:val="0"/>
          <w:numId w:val="8"/>
        </w:numPr>
        <w:spacing w:after="0" w:line="276" w:lineRule="auto"/>
        <w:ind w:left="709"/>
        <w:jc w:val="both"/>
        <w:rPr>
          <w:rFonts w:ascii="Times New Roman" w:hAnsi="Times New Roman" w:cs="Times New Roman"/>
          <w:sz w:val="24"/>
          <w:szCs w:val="24"/>
          <w:lang w:val="fr-FR"/>
        </w:rPr>
      </w:pPr>
      <w:r>
        <w:rPr>
          <w:rFonts w:ascii="Times New Roman" w:eastAsia="Times New Roman" w:hAnsi="Times New Roman" w:cs="Times New Roman"/>
          <w:color w:val="333333"/>
          <w:sz w:val="24"/>
          <w:szCs w:val="24"/>
          <w:lang w:val="fr-FR"/>
        </w:rPr>
        <w:t>un prélèvement d’un échantillon buccal par un fonctionnaire de police si cela est indispensable et s'il n'y a pas lieu de craindre que cela ne mette en danger la santé de l'accusé ou d'autres personnes.</w:t>
      </w:r>
    </w:p>
    <w:p w14:paraId="055C4033" w14:textId="779E967B" w:rsidR="00E3090D" w:rsidRPr="003C6351" w:rsidRDefault="00E3090D" w:rsidP="003C6351">
      <w:pPr>
        <w:pStyle w:val="Akapitzlist"/>
        <w:spacing w:after="0" w:line="276" w:lineRule="auto"/>
        <w:ind w:left="426"/>
        <w:jc w:val="both"/>
        <w:rPr>
          <w:rFonts w:ascii="Times New Roman" w:hAnsi="Times New Roman" w:cs="Times New Roman"/>
          <w:sz w:val="24"/>
          <w:szCs w:val="24"/>
        </w:rPr>
      </w:pPr>
      <w:r>
        <w:rPr>
          <w:rFonts w:ascii="Times New Roman" w:hAnsi="Times New Roman" w:cs="Times New Roman"/>
          <w:color w:val="333333"/>
          <w:sz w:val="24"/>
          <w:szCs w:val="24"/>
          <w:shd w:val="clear" w:color="auto" w:fill="FFFFFF"/>
          <w:lang w:val="fr-FR"/>
        </w:rPr>
        <w:t>En cas de refus de se soumettre à ces obligations, l'accusé peut être placé en détention et contraint de s'y soumettre ; il est également possible de recourir à la force physique ou à des moyens techniques visant à neutraliser l’accusé, dans la mesure nécessaire à l'exécution de la procédure en question.</w:t>
      </w:r>
      <w:r>
        <w:rPr>
          <w:rFonts w:ascii="Times New Roman" w:hAnsi="Times New Roman" w:cs="Times New Roman"/>
          <w:sz w:val="24"/>
          <w:szCs w:val="24"/>
          <w:lang w:val="fr-FR"/>
        </w:rPr>
        <w:t xml:space="preserve"> (article 74, paragraphes 2, 3a, du CPP)</w:t>
      </w:r>
    </w:p>
    <w:p w14:paraId="73091F97" w14:textId="577781E6" w:rsidR="00E82F2D" w:rsidRPr="0033471A" w:rsidRDefault="00E3090D" w:rsidP="003C6351">
      <w:pPr>
        <w:pStyle w:val="Akapitzlist"/>
        <w:numPr>
          <w:ilvl w:val="0"/>
          <w:numId w:val="7"/>
        </w:numPr>
        <w:spacing w:before="240" w:after="0" w:line="276" w:lineRule="auto"/>
        <w:ind w:left="426"/>
        <w:jc w:val="both"/>
        <w:rPr>
          <w:rFonts w:ascii="Times New Roman" w:hAnsi="Times New Roman" w:cs="Times New Roman"/>
          <w:sz w:val="24"/>
          <w:szCs w:val="24"/>
          <w:lang w:val="fr-FR"/>
        </w:rPr>
      </w:pPr>
      <w:r>
        <w:rPr>
          <w:rFonts w:ascii="Times New Roman" w:hAnsi="Times New Roman" w:cs="Times New Roman"/>
          <w:color w:val="333333"/>
          <w:sz w:val="24"/>
          <w:szCs w:val="24"/>
          <w:shd w:val="clear" w:color="auto" w:fill="FFFFFF"/>
          <w:lang w:val="fr-FR"/>
        </w:rPr>
        <w:t>L'accusé est tenu d'informer le ministère public de tout changement de son lieu de résidence ou de séjour d’une durée de plus de sept jours, y compris en cas de privation de liberté dans le cadre d'une autre affaire, ainsi que de tout changement dans les coordonnées indiquées à l'article 213, paragraphe 1, dont il sait qu'elles sont connues du ministère public. L'accusé est en outre tenu de se présenter à chaque convocation dans le cadre de la procédure pénale. En cas de non-comparution injustifiée, l'accusé peut être détenu et amené de force. (article 75, paragraphes 1 et 2, du CPP). Si une partie change de domicile sans communiquer sa nouvelle adresse ou ne réside pas à l'adresse qu'elle a indiquée, y compris en raison d'une détention dans le cadre d'une autre affaire, tout courrier envoyé à cette adresse est réputé avoir été signifié Il en va de même pour la partie qui a demandé que la signification soit effectuée à l'adresse d'une  boîte postale désignée et qui n'a pas notifié à l'autorité le changement de cette adresse ou la cessation de son utilisation (article 139, paragraphe 1, du CPP) ;</w:t>
      </w:r>
    </w:p>
    <w:p w14:paraId="481FC7F2" w14:textId="1540149D" w:rsidR="00266201" w:rsidRPr="003C6351" w:rsidRDefault="00514989" w:rsidP="003C6351">
      <w:pPr>
        <w:pStyle w:val="Akapitzlist"/>
        <w:numPr>
          <w:ilvl w:val="0"/>
          <w:numId w:val="7"/>
        </w:numPr>
        <w:spacing w:before="240" w:after="0" w:line="276" w:lineRule="auto"/>
        <w:ind w:left="426"/>
        <w:jc w:val="both"/>
        <w:rPr>
          <w:rFonts w:ascii="Times New Roman" w:hAnsi="Times New Roman" w:cs="Times New Roman"/>
          <w:sz w:val="24"/>
          <w:szCs w:val="24"/>
        </w:rPr>
      </w:pPr>
      <w:r>
        <w:rPr>
          <w:rFonts w:ascii="Times New Roman" w:hAnsi="Times New Roman" w:cs="Times New Roman"/>
          <w:color w:val="333333"/>
          <w:sz w:val="24"/>
          <w:szCs w:val="24"/>
          <w:shd w:val="clear" w:color="auto" w:fill="FFFFFF"/>
          <w:lang w:val="fr-FR"/>
        </w:rPr>
        <w:t xml:space="preserve">La personne habilitée à prendre part à l'acte de procédure est informée de la date et du lieu de celui-ci, sauf disposition contraire de la loi. Un acte de procédure n'est pas mené si la personne habilitée ne comparaît pas et s'il n'y a pas de preuve qu'elle en a été informée, </w:t>
      </w:r>
      <w:r>
        <w:rPr>
          <w:rFonts w:ascii="Times New Roman" w:hAnsi="Times New Roman" w:cs="Times New Roman"/>
          <w:color w:val="333333"/>
          <w:sz w:val="24"/>
          <w:szCs w:val="24"/>
          <w:shd w:val="clear" w:color="auto" w:fill="FFFFFF"/>
          <w:lang w:val="fr-FR"/>
        </w:rPr>
        <w:lastRenderedPageBreak/>
        <w:t xml:space="preserve">ainsi que s’il existe une présomption fondée que la non-comparution résulte de causes de force majeure ou d’autres motifs exceptionnels, ou encore lorsque cette personne a dûment justifié son absence et demande que l’acte ne soit pas exécuté en son absence, sauf disposition contraire de la loi. Pour justifier la non-comparution pour cause de maladie des accusés dont la présence était obligatoire ou qui avaient demandé à être admis à l'audience, étant habilités à y participer, il est nécessaire de produire un certificat attestant l’incapacité de se présenter à la convocation à se rendre à la convocation ou à l'avis de l'organe chargé de la procédure, délivré par un médecin légiste. Cette disposition ne s'applique pas aux personnes privées de liberté, dont les règles relatives à la justification de l'absence sont régies par </w:t>
      </w:r>
      <w:r>
        <w:rPr>
          <w:rFonts w:ascii="Times New Roman" w:hAnsi="Times New Roman" w:cs="Times New Roman"/>
          <w:sz w:val="24"/>
          <w:szCs w:val="24"/>
          <w:shd w:val="clear" w:color="auto" w:fill="FFFFFF"/>
          <w:lang w:val="fr-FR"/>
        </w:rPr>
        <w:t>des dispositions</w:t>
      </w:r>
      <w:r>
        <w:rPr>
          <w:rFonts w:ascii="Times New Roman" w:hAnsi="Times New Roman" w:cs="Times New Roman"/>
          <w:color w:val="333333"/>
          <w:sz w:val="24"/>
          <w:szCs w:val="24"/>
          <w:shd w:val="clear" w:color="auto" w:fill="FFFFFF"/>
          <w:lang w:val="fr-FR"/>
        </w:rPr>
        <w:t xml:space="preserve"> distinctes. En cas de non-comparution d'une partie, d'un avocat ou d'un mandataire dont la comparution est obligatoire, un acte de procédure n'est pas exécuté, sauf disposition contraire de la loi. La non-comparution d'une partie dûment informée d’un acte de procédure, quelle qu'en soit la raison, n'empêche pas l'exécution de cette mesure si son avocat ou son mandataire s'est présenté. Cela ne s'applique pas aux actes pour lesquels la présence de la partie est obligatoire. (article 117, paragraphes 1, 2, 2a, 3, 3a et 5 du CPP) ;</w:t>
      </w:r>
    </w:p>
    <w:p w14:paraId="47AA1E02" w14:textId="036BE24F" w:rsidR="00514989" w:rsidRPr="0033471A" w:rsidRDefault="00514989" w:rsidP="003C6351">
      <w:pPr>
        <w:pStyle w:val="Akapitzlist"/>
        <w:numPr>
          <w:ilvl w:val="0"/>
          <w:numId w:val="7"/>
        </w:numPr>
        <w:spacing w:before="240" w:after="0" w:line="276" w:lineRule="auto"/>
        <w:ind w:left="426"/>
        <w:jc w:val="both"/>
        <w:rPr>
          <w:rFonts w:ascii="Times New Roman" w:hAnsi="Times New Roman" w:cs="Times New Roman"/>
          <w:sz w:val="24"/>
          <w:szCs w:val="24"/>
          <w:lang w:val="fr-FR"/>
        </w:rPr>
      </w:pPr>
      <w:r>
        <w:rPr>
          <w:rFonts w:ascii="Times New Roman" w:hAnsi="Times New Roman" w:cs="Times New Roman"/>
          <w:color w:val="333333"/>
          <w:sz w:val="24"/>
          <w:szCs w:val="24"/>
          <w:shd w:val="clear" w:color="auto" w:fill="FFFFFF"/>
          <w:lang w:val="fr-FR"/>
        </w:rPr>
        <w:t>Tout acte de procédure adressé au tribunal doit mentionner l’autorité destinataire et la description de l'affaire à laquelle il se rapporte, les coordonnées et l'adresse du requérant, ainsi que, dans le premier acte déposé dans l'affaire, le numéro de téléphone, de télécopieur et l’adresse électronique ou une déclaration indiquant qu’il n’en dispose pas, l’objet de la demande ou de la déclaration, accompagné, le cas échéant, d’un exposé des motifs, ainsi que la date et la signature du requérant. Lorsqu'une personne n'est pas en mesure de signer, le document est signé par une personne qu'elle a mandatée, en précisant la raison pour laquelle celle-ci appose sa signature (article 119, paragraphes 1 et 2, du CPP) ;</w:t>
      </w:r>
    </w:p>
    <w:p w14:paraId="5CD5A9DE" w14:textId="5D6AD0F3" w:rsidR="00485C27" w:rsidRPr="0033471A" w:rsidRDefault="0049512F" w:rsidP="003C6351">
      <w:pPr>
        <w:pStyle w:val="Akapitzlist"/>
        <w:numPr>
          <w:ilvl w:val="0"/>
          <w:numId w:val="7"/>
        </w:numPr>
        <w:spacing w:before="240" w:after="0" w:line="276" w:lineRule="auto"/>
        <w:ind w:left="426"/>
        <w:jc w:val="both"/>
        <w:rPr>
          <w:rFonts w:ascii="Times New Roman" w:hAnsi="Times New Roman" w:cs="Times New Roman"/>
          <w:sz w:val="24"/>
          <w:szCs w:val="24"/>
          <w:lang w:val="fr-FR"/>
        </w:rPr>
      </w:pPr>
      <w:r>
        <w:rPr>
          <w:rFonts w:ascii="Times New Roman" w:hAnsi="Times New Roman" w:cs="Times New Roman"/>
          <w:color w:val="333333"/>
          <w:sz w:val="24"/>
          <w:szCs w:val="24"/>
          <w:shd w:val="clear" w:color="auto" w:fill="FFFFFF"/>
          <w:lang w:val="fr-FR"/>
        </w:rPr>
        <w:t>Si l'accusé, dont la présence au procès est obligatoire, a déjà fait sa déposition et a quitté la salle d'audience sans l'autorisation du président, le tribunal peut poursuivre l'audience malgré l'absence de l'accusé. Le tribunal ordonne que l'accusé soit détenu et amené de force s'il estime que sa présence est nécessaire. La décision relative à la détention et à la comparution forcée peut faire l'objet d'un recours devant une autre chambre équivalente de ce tribunal.</w:t>
      </w:r>
      <w:r>
        <w:rPr>
          <w:rFonts w:ascii="Times New Roman" w:hAnsi="Times New Roman" w:cs="Times New Roman"/>
          <w:sz w:val="24"/>
          <w:szCs w:val="24"/>
          <w:lang w:val="fr-FR"/>
        </w:rPr>
        <w:t xml:space="preserve"> </w:t>
      </w:r>
      <w:r>
        <w:rPr>
          <w:rFonts w:ascii="Times New Roman" w:hAnsi="Times New Roman" w:cs="Times New Roman"/>
          <w:color w:val="333333"/>
          <w:sz w:val="24"/>
          <w:szCs w:val="24"/>
          <w:shd w:val="clear" w:color="auto" w:fill="FFFFFF"/>
          <w:lang w:val="fr-FR"/>
        </w:rPr>
        <w:t xml:space="preserve">La disposition du paragraphe 1 s'applique </w:t>
      </w:r>
      <w:r>
        <w:rPr>
          <w:rFonts w:ascii="Times New Roman" w:hAnsi="Times New Roman" w:cs="Times New Roman"/>
          <w:i/>
          <w:iCs/>
          <w:color w:val="333333"/>
          <w:sz w:val="24"/>
          <w:szCs w:val="24"/>
          <w:shd w:val="clear" w:color="auto" w:fill="FFFFFF"/>
          <w:lang w:val="fr-FR"/>
        </w:rPr>
        <w:t>mutatis mutandis</w:t>
      </w:r>
      <w:r>
        <w:rPr>
          <w:rFonts w:ascii="Times New Roman" w:hAnsi="Times New Roman" w:cs="Times New Roman"/>
          <w:color w:val="333333"/>
          <w:sz w:val="24"/>
          <w:szCs w:val="24"/>
          <w:shd w:val="clear" w:color="auto" w:fill="FFFFFF"/>
          <w:lang w:val="fr-FR"/>
        </w:rPr>
        <w:t xml:space="preserve"> si l'accusé, dont la présence au procès est obligatoire, après avoir fait sa déposition et avoir été informé de la date du procès ajourné ou interrompu, ne se présente pas au procès sans justification.</w:t>
      </w:r>
      <w:r>
        <w:rPr>
          <w:rFonts w:ascii="Times New Roman" w:hAnsi="Times New Roman" w:cs="Times New Roman"/>
          <w:sz w:val="24"/>
          <w:szCs w:val="24"/>
          <w:lang w:val="fr-FR"/>
        </w:rPr>
        <w:t xml:space="preserve"> </w:t>
      </w:r>
      <w:r>
        <w:rPr>
          <w:rFonts w:ascii="Times New Roman" w:hAnsi="Times New Roman" w:cs="Times New Roman"/>
          <w:color w:val="333333"/>
          <w:sz w:val="24"/>
          <w:szCs w:val="24"/>
          <w:shd w:val="clear" w:color="auto" w:fill="FFFFFF"/>
          <w:lang w:val="fr-FR"/>
        </w:rPr>
        <w:t>Si, lors d'une audience ajournée ou suspendue, un coaccusé qui s'est justifié de son absence ne s'est pas présenté, le tribunal peut poursuivre l'audience dans la mesure où elle ne concerne pas directement l'accusé absent, pour autant que cela ne porte pas atteinte à son droit à la défense</w:t>
      </w:r>
      <w:r>
        <w:rPr>
          <w:rFonts w:ascii="Times New Roman" w:hAnsi="Times New Roman" w:cs="Times New Roman"/>
          <w:sz w:val="24"/>
          <w:szCs w:val="24"/>
          <w:lang w:val="fr-FR"/>
        </w:rPr>
        <w:t xml:space="preserve"> (article 376, paragraphes 1, 2 i 3, du CPP) ;</w:t>
      </w:r>
    </w:p>
    <w:p w14:paraId="65DED3D1" w14:textId="7BDCB550" w:rsidR="0049512F" w:rsidRPr="0033471A" w:rsidRDefault="0049512F" w:rsidP="003C6351">
      <w:pPr>
        <w:pStyle w:val="Akapitzlist"/>
        <w:numPr>
          <w:ilvl w:val="0"/>
          <w:numId w:val="7"/>
        </w:numPr>
        <w:spacing w:before="240" w:after="0" w:line="276" w:lineRule="auto"/>
        <w:ind w:left="426"/>
        <w:jc w:val="both"/>
        <w:rPr>
          <w:rFonts w:ascii="Times New Roman" w:hAnsi="Times New Roman" w:cs="Times New Roman"/>
          <w:sz w:val="24"/>
          <w:szCs w:val="24"/>
          <w:lang w:val="fr-FR"/>
        </w:rPr>
      </w:pPr>
      <w:r>
        <w:rPr>
          <w:rFonts w:ascii="Times New Roman" w:hAnsi="Times New Roman" w:cs="Times New Roman"/>
          <w:color w:val="333333"/>
          <w:sz w:val="24"/>
          <w:szCs w:val="24"/>
          <w:shd w:val="clear" w:color="auto" w:fill="FFFFFF"/>
          <w:lang w:val="fr-FR"/>
        </w:rPr>
        <w:t xml:space="preserve">Si l'accusé s'est trouvé, par sa propre faute, dans l'incapacité d’assister à un procès ou à une audience où sa présence est obligatoire, le tribunal peut décider de poursuivre la procédure en son absence, même s'il n'a pas encore fait sa déposition. Avant de rendre la décision susmentionnée, la juridiction prend connaissance du certificat médical attestant de cet état d'incapacité ou entend le médecin en qualité d'expert. L'état rendant l'accusé incapable d’assister à l'audience peut également être établi au moyen d'un examen ne portant pas atteinte à l'intégrité physique, réalisé à l'aide d'un dispositif approprié. Si l'accusé, dont la présence au procès ou à l’audience est obligatoire, déclare, après avoir été informé de la </w:t>
      </w:r>
      <w:r>
        <w:rPr>
          <w:rFonts w:ascii="Times New Roman" w:hAnsi="Times New Roman" w:cs="Times New Roman"/>
          <w:color w:val="333333"/>
          <w:sz w:val="24"/>
          <w:szCs w:val="24"/>
          <w:shd w:val="clear" w:color="auto" w:fill="FFFFFF"/>
          <w:lang w:val="fr-FR"/>
        </w:rPr>
        <w:lastRenderedPageBreak/>
        <w:t>date du procès ou de l'audience, qu'il n'assistera pas au procès ou à l'audience, empêche qu'on l'amène au procès ou à l'audience ou, après avoir été notifié en personne, ne se présente pas au procès ou à l'audience sans justification, le tribunal peut mener la procédure en son absence ; toutefois, le tribunal peut ordonner la détention et la comparution forcée de l’accusé. La décision relative à la détention et à la comparution forcée peut faire l'objet d'un recours devant une autre chambre équivalente de ce tribunal. Si l'accusé n'a pas encore fait sa déposition devant le tribunal, il est possible d'appliquer l'article 396, paragraphe 2, ou de considérer que la lecture de la déposition qu'il a faite précédemment est suffisante. L'interrogatoire de l'accusé peut être mené en recourant aux moyens visés à l'article 177, paragraphe 1a (article 377, paragraphes 1, 2, 3 et 4 du CPP) ;</w:t>
      </w:r>
    </w:p>
    <w:p w14:paraId="0B058E78" w14:textId="2218E0B7" w:rsidR="0049512F" w:rsidRPr="003C6351" w:rsidRDefault="00742E9C" w:rsidP="003C6351">
      <w:pPr>
        <w:pStyle w:val="Akapitzlist"/>
        <w:numPr>
          <w:ilvl w:val="0"/>
          <w:numId w:val="7"/>
        </w:numPr>
        <w:spacing w:before="240" w:after="0" w:line="276" w:lineRule="auto"/>
        <w:ind w:left="426"/>
        <w:jc w:val="both"/>
        <w:rPr>
          <w:rFonts w:ascii="Times New Roman" w:hAnsi="Times New Roman" w:cs="Times New Roman"/>
          <w:sz w:val="24"/>
          <w:szCs w:val="24"/>
        </w:rPr>
      </w:pPr>
      <w:r>
        <w:rPr>
          <w:rFonts w:ascii="Times New Roman" w:hAnsi="Times New Roman" w:cs="Times New Roman"/>
          <w:color w:val="333333"/>
          <w:sz w:val="24"/>
          <w:szCs w:val="24"/>
          <w:shd w:val="clear" w:color="auto" w:fill="FFFFFF"/>
          <w:lang w:val="fr-FR"/>
        </w:rPr>
        <w:t>Si l'accusé ou son avocat ne s'est pas présenté à l'audience alors qu'il en avait été informé, le tribunal peut, dans des cas particulièrement justifiés, procéder à l'administration des preuves en son absence, même s'il a dûment justifié son absence, et notamment d'entendre les témoins qui se sont présentés à l'audience, même si l'accusé n'a pas encore fait sa déposition. Dans ce cas, il convient de convoquer l'accusé ou son avocat, ou de les informer de la nouvelle date de l'audience, si celle-ci ne leur était pas connue. Si le tribunal a procédé à l’administration de la preuve en l'absence de l'accusé ou de son avocat dans le cas susmentionné, l'accusé ou son avocat peut, au plus tard lors de la prochaine audience dont il a été dûment informé et en l'absence d'obstacles procéduraux à sa comparution, demander la répétition de l’administration de la preuve faite en son absence. Le droit de déposer une demande ne peut être exercé s'il s'avère que l'absence de l'accusé ou de son avocat à l'audience au cours de laquelle l’administration de la preuve a été menée sur la base susmentionnée était injustifiée. Si la demande susmentionnée n'est pas déposée dans le délai imparti, le droit de la déposer devient caduc et il n'est pas possible d'invoquer, dans la suite de la procédure, une violation des garanties procédurales, en particulier des droits de la défense, du fait de l'obtention de ces preuves en l'absence de l'accusé ou de son avocat. Dans la demande de complément d'instruction, l'accusé ou son avocat est tenu de démontrer que la manière dont l’administration de la preuve a été menée en son absence a porté atteinte aux garanties procédurales, en particulier au droit à la défense. Si la demande de complément d'instruction est accueillie, le tribunal procède à ce complément d'instruction uniquement dans la mesure où une violation des garanties procédurales, en particulier du droit à la défense, a été démontrée. Si l'accusé ou son avocat se présente à la date d'audience susmentionnée, le président du tribunal les informe de la possibilité de présenter une demande d'examen complémentaire des preuves recueillies en leur absence et leur donne la possibilité de s’exprimer à ce sujet. (article 378a, paragraphes 1 à 7 du CPP) ;</w:t>
      </w:r>
    </w:p>
    <w:p w14:paraId="352B232E" w14:textId="2498B005" w:rsidR="0049512F" w:rsidRPr="0033471A" w:rsidRDefault="00742E9C" w:rsidP="003C6351">
      <w:pPr>
        <w:pStyle w:val="Akapitzlist"/>
        <w:numPr>
          <w:ilvl w:val="0"/>
          <w:numId w:val="7"/>
        </w:numPr>
        <w:spacing w:before="240" w:after="0" w:line="276" w:lineRule="auto"/>
        <w:ind w:left="426"/>
        <w:jc w:val="both"/>
        <w:rPr>
          <w:rFonts w:ascii="Times New Roman" w:hAnsi="Times New Roman" w:cs="Times New Roman"/>
          <w:sz w:val="24"/>
          <w:szCs w:val="24"/>
          <w:lang w:val="fr-FR"/>
        </w:rPr>
      </w:pPr>
      <w:r>
        <w:rPr>
          <w:rFonts w:ascii="Times New Roman" w:hAnsi="Times New Roman" w:cs="Times New Roman"/>
          <w:color w:val="333333"/>
          <w:sz w:val="24"/>
          <w:szCs w:val="24"/>
          <w:shd w:val="clear" w:color="auto" w:fill="FFFFFF"/>
          <w:lang w:val="fr-FR"/>
        </w:rPr>
        <w:t>La non-comparution des parties, de leurs avocats et de leurs mandataires ne fait pas obstacle au prononcé du jugement (article 419, paragraphe 1, du CPP) ;</w:t>
      </w:r>
    </w:p>
    <w:p w14:paraId="4B32050F" w14:textId="030B6976" w:rsidR="0049512F" w:rsidRPr="003C6351" w:rsidRDefault="00031903" w:rsidP="003C6351">
      <w:pPr>
        <w:pStyle w:val="Akapitzlist"/>
        <w:numPr>
          <w:ilvl w:val="0"/>
          <w:numId w:val="7"/>
        </w:numPr>
        <w:spacing w:before="240" w:after="0" w:line="276" w:lineRule="auto"/>
        <w:ind w:left="426"/>
        <w:jc w:val="both"/>
        <w:rPr>
          <w:rFonts w:ascii="Times New Roman" w:hAnsi="Times New Roman" w:cs="Times New Roman"/>
          <w:sz w:val="24"/>
          <w:szCs w:val="24"/>
        </w:rPr>
      </w:pPr>
      <w:r>
        <w:rPr>
          <w:rFonts w:ascii="Times New Roman" w:hAnsi="Times New Roman" w:cs="Times New Roman"/>
          <w:color w:val="333333"/>
          <w:sz w:val="24"/>
          <w:szCs w:val="24"/>
          <w:shd w:val="clear" w:color="auto" w:fill="FFFFFF"/>
          <w:lang w:val="fr-FR"/>
        </w:rPr>
        <w:t xml:space="preserve">Dans un délai de forclusion de sept jours à compter du prononcé du jugement, une partie et, et dans le cas d'un jugement de classement sous condition rendu en audience, également la victime, peuvent demander que les motifs du jugement soient consignés par écrit et signifiés. Le fait que le tribunal rédige d'office les motifs de sa décision ne dispense pas la partie et la personne lésée de demander la signification des motifs. La demande est formulée par écrit. Cette demande peut également être faite par l'entité soumise à l’obligation visée à l'article 91a. La demande doit indiquer si celle-ci porte sur l'intégralité </w:t>
      </w:r>
      <w:r>
        <w:rPr>
          <w:rFonts w:ascii="Times New Roman" w:hAnsi="Times New Roman" w:cs="Times New Roman"/>
          <w:color w:val="333333"/>
          <w:sz w:val="24"/>
          <w:szCs w:val="24"/>
          <w:shd w:val="clear" w:color="auto" w:fill="FFFFFF"/>
          <w:lang w:val="fr-FR"/>
        </w:rPr>
        <w:lastRenderedPageBreak/>
        <w:t>du jugement, sur certains des faits reprochés par le ministère public à l'accusé, ou uniquement sur la décision relative à la peine et aux autres conséquences juridiques de l’acte commis. Une demande qui n'émane pas de l'accusé doit également identifier l'accusé auquel elle se rapporte. Pour un accusé en détention qui n'a pas d'avocat et qui, bien qu'il ait demandé à être conduit à l'audience au cours de laquelle le jugement a été prononcé, n'était pas présent lors du prononcé du jugement, le délai de sept jours court à compter de la date à laquelle le jugement lui a été signifié. Le président du tribunal refuse d'accepter une demande déposée par une personne non habilitée, hors délai ou si les circonstances visées à l'article 120, paragraphe 2, sont réunies. Cette ordonnance est susceptible de recours. Cette ordonnance peut également être rendue par un greffier. (article 422, paragraphes 1 à 4, du CPP) ;</w:t>
      </w:r>
    </w:p>
    <w:p w14:paraId="1809CA29" w14:textId="760A94CA" w:rsidR="0049512F" w:rsidRPr="0033471A" w:rsidRDefault="00031903" w:rsidP="003C6351">
      <w:pPr>
        <w:pStyle w:val="Akapitzlist"/>
        <w:numPr>
          <w:ilvl w:val="0"/>
          <w:numId w:val="7"/>
        </w:numPr>
        <w:spacing w:before="240" w:after="0" w:line="276" w:lineRule="auto"/>
        <w:ind w:left="426"/>
        <w:jc w:val="both"/>
        <w:rPr>
          <w:rFonts w:ascii="Times New Roman" w:hAnsi="Times New Roman" w:cs="Times New Roman"/>
          <w:sz w:val="24"/>
          <w:szCs w:val="24"/>
          <w:lang w:val="fr-FR"/>
        </w:rPr>
      </w:pPr>
      <w:r>
        <w:rPr>
          <w:rFonts w:ascii="Times New Roman" w:hAnsi="Times New Roman" w:cs="Times New Roman"/>
          <w:color w:val="333333"/>
          <w:sz w:val="24"/>
          <w:szCs w:val="24"/>
          <w:shd w:val="clear" w:color="auto" w:fill="FFFFFF"/>
          <w:lang w:val="fr-FR"/>
        </w:rPr>
        <w:t>L’appel ne peut être fondé sur des griefs tirés d'une erreur dans les constatations de fait sur lesquelles repose la décision, si cette erreur a pu influer sur le contenu de ladite décision, ni sur une disproportion flagrante de la peine, d’une mesure pénale, d’une amende ou de l’application ou de la non-application injustifiée d’une mesure de sûreté, d’une confiscation ou d’une autre mesure, en rapport avec le contenu de l'accord conclu visé aux articles 343, 343a et 387 (article 447, paragraphe 5, du CPP).</w:t>
      </w:r>
    </w:p>
    <w:sectPr w:rsidR="0049512F" w:rsidRPr="0033471A" w:rsidSect="0099188A">
      <w:footerReference w:type="default" r:id="rId7"/>
      <w:pgSz w:w="11905" w:h="16832"/>
      <w:pgMar w:top="1418" w:right="1134" w:bottom="1418" w:left="1701" w:header="567" w:footer="567"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3533F" w14:textId="77777777" w:rsidR="0099188A" w:rsidRDefault="0099188A" w:rsidP="0099188A">
      <w:pPr>
        <w:spacing w:after="0" w:line="240" w:lineRule="auto"/>
      </w:pPr>
      <w:r>
        <w:separator/>
      </w:r>
    </w:p>
  </w:endnote>
  <w:endnote w:type="continuationSeparator" w:id="0">
    <w:p w14:paraId="3C884ED6" w14:textId="77777777" w:rsidR="0099188A" w:rsidRDefault="0099188A" w:rsidP="009918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5431663"/>
      <w:docPartObj>
        <w:docPartGallery w:val="Page Numbers (Bottom of Page)"/>
        <w:docPartUnique/>
      </w:docPartObj>
    </w:sdtPr>
    <w:sdtEndPr>
      <w:rPr>
        <w:rFonts w:ascii="Times New Roman" w:hAnsi="Times New Roman" w:cs="Times New Roman"/>
        <w:sz w:val="24"/>
        <w:szCs w:val="24"/>
      </w:rPr>
    </w:sdtEndPr>
    <w:sdtContent>
      <w:p w14:paraId="17218902" w14:textId="3668938E" w:rsidR="0099188A" w:rsidRPr="0099188A" w:rsidRDefault="0099188A" w:rsidP="0099188A">
        <w:pPr>
          <w:pStyle w:val="Stopka"/>
          <w:jc w:val="right"/>
          <w:rPr>
            <w:rFonts w:ascii="Times New Roman" w:hAnsi="Times New Roman" w:cs="Times New Roman"/>
            <w:sz w:val="24"/>
            <w:szCs w:val="24"/>
          </w:rPr>
        </w:pPr>
        <w:r>
          <w:rPr>
            <w:rFonts w:ascii="Times New Roman" w:hAnsi="Times New Roman" w:cs="Times New Roman"/>
            <w:sz w:val="24"/>
            <w:szCs w:val="24"/>
            <w:lang w:val="fr-FR"/>
          </w:rPr>
          <w:fldChar w:fldCharType="begin"/>
        </w:r>
        <w:r>
          <w:rPr>
            <w:rFonts w:ascii="Times New Roman" w:hAnsi="Times New Roman" w:cs="Times New Roman"/>
            <w:sz w:val="24"/>
            <w:szCs w:val="24"/>
            <w:lang w:val="fr-FR"/>
          </w:rPr>
          <w:instrText>PAGE   \* MERGEFORMAT</w:instrText>
        </w:r>
        <w:r>
          <w:rPr>
            <w:rFonts w:ascii="Times New Roman" w:hAnsi="Times New Roman" w:cs="Times New Roman"/>
            <w:sz w:val="24"/>
            <w:szCs w:val="24"/>
            <w:lang w:val="fr-FR"/>
          </w:rPr>
          <w:fldChar w:fldCharType="separate"/>
        </w:r>
        <w:r>
          <w:rPr>
            <w:rFonts w:ascii="Times New Roman" w:hAnsi="Times New Roman" w:cs="Times New Roman"/>
            <w:sz w:val="24"/>
            <w:szCs w:val="24"/>
            <w:lang w:val="fr-FR"/>
          </w:rPr>
          <w:t>2</w:t>
        </w:r>
        <w:r>
          <w:rPr>
            <w:rFonts w:ascii="Times New Roman" w:hAnsi="Times New Roman" w:cs="Times New Roman"/>
            <w:sz w:val="24"/>
            <w:szCs w:val="24"/>
            <w:lang w:val="fr-FR"/>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F5FD3" w14:textId="77777777" w:rsidR="0099188A" w:rsidRDefault="0099188A" w:rsidP="0099188A">
      <w:pPr>
        <w:spacing w:after="0" w:line="240" w:lineRule="auto"/>
      </w:pPr>
      <w:r>
        <w:separator/>
      </w:r>
    </w:p>
  </w:footnote>
  <w:footnote w:type="continuationSeparator" w:id="0">
    <w:p w14:paraId="6B7A33CE" w14:textId="77777777" w:rsidR="0099188A" w:rsidRDefault="0099188A" w:rsidP="009918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abstractNum>
  <w:abstractNum w:abstractNumId="1" w15:restartNumberingAfterBreak="0">
    <w:nsid w:val="00000002"/>
    <w:multiLevelType w:val="multilevel"/>
    <w:tmpl w:val="00000002"/>
    <w:lvl w:ilvl="0">
      <w:start w:val="1"/>
      <w:numFmt w:val="decimal"/>
      <w:lvlText w:val="%1)"/>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1">
      <w:start w:val="1"/>
      <w:numFmt w:val="decimal"/>
      <w:lvlText w:val="%2)"/>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2">
      <w:start w:val="1"/>
      <w:numFmt w:val="decimal"/>
      <w:lvlText w:val="%3)"/>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3">
      <w:start w:val="1"/>
      <w:numFmt w:val="decimal"/>
      <w:lvlText w:val="%4)"/>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4">
      <w:start w:val="1"/>
      <w:numFmt w:val="decimal"/>
      <w:lvlText w:val="%5)"/>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5">
      <w:start w:val="1"/>
      <w:numFmt w:val="decimal"/>
      <w:lvlText w:val="%6)"/>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6">
      <w:start w:val="1"/>
      <w:numFmt w:val="decimal"/>
      <w:lvlText w:val="%7)"/>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7">
      <w:start w:val="1"/>
      <w:numFmt w:val="decimal"/>
      <w:lvlText w:val="%8)"/>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8">
      <w:start w:val="1"/>
      <w:numFmt w:val="decimal"/>
      <w:lvlText w:val="%9)"/>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abstractNum>
  <w:abstractNum w:abstractNumId="2" w15:restartNumberingAfterBreak="0">
    <w:nsid w:val="00000003"/>
    <w:multiLevelType w:val="multilevel"/>
    <w:tmpl w:val="00000003"/>
    <w:lvl w:ilvl="0">
      <w:start w:val="1"/>
      <w:numFmt w:val="decimal"/>
      <w:lvlText w:val="%1)"/>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abstractNum>
  <w:abstractNum w:abstractNumId="3" w15:restartNumberingAfterBreak="0">
    <w:nsid w:val="42D36DB6"/>
    <w:multiLevelType w:val="hybridMultilevel"/>
    <w:tmpl w:val="A716A6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4967126"/>
    <w:multiLevelType w:val="hybridMultilevel"/>
    <w:tmpl w:val="20547DB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5BE10D57"/>
    <w:multiLevelType w:val="hybridMultilevel"/>
    <w:tmpl w:val="F2D804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20156864">
    <w:abstractNumId w:val="0"/>
  </w:num>
  <w:num w:numId="2" w16cid:durableId="858548827">
    <w:abstractNumId w:val="0"/>
    <w:lvlOverride w:ilvl="0">
      <w:lvl w:ilvl="0">
        <w:start w:val="1"/>
        <w:numFmt w:val="decimal"/>
        <w:lvlText w:val="%1."/>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Override>
    <w:lvlOverride w:ilvl="1">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2">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3">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4">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5">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6">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7">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8">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num>
  <w:num w:numId="3" w16cid:durableId="2123760648">
    <w:abstractNumId w:val="0"/>
    <w:lvlOverride w:ilvl="0">
      <w:lvl w:ilvl="0">
        <w:start w:val="1"/>
        <w:numFmt w:val="decimal"/>
        <w:lvlText w:val="%1."/>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1">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2">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3">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4">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5">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6">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7">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8">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num>
  <w:num w:numId="4" w16cid:durableId="1984238686">
    <w:abstractNumId w:val="1"/>
  </w:num>
  <w:num w:numId="5" w16cid:durableId="1587109171">
    <w:abstractNumId w:val="2"/>
  </w:num>
  <w:num w:numId="6" w16cid:durableId="1432819623">
    <w:abstractNumId w:val="5"/>
  </w:num>
  <w:num w:numId="7" w16cid:durableId="1188832480">
    <w:abstractNumId w:val="3"/>
  </w:num>
  <w:num w:numId="8" w16cid:durableId="9070390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AE053A"/>
    <w:rsid w:val="00031903"/>
    <w:rsid w:val="00077018"/>
    <w:rsid w:val="00084070"/>
    <w:rsid w:val="0009408D"/>
    <w:rsid w:val="000F3F54"/>
    <w:rsid w:val="000F75A7"/>
    <w:rsid w:val="001130EA"/>
    <w:rsid w:val="001925F4"/>
    <w:rsid w:val="002124E5"/>
    <w:rsid w:val="00240EA6"/>
    <w:rsid w:val="00266201"/>
    <w:rsid w:val="003264A4"/>
    <w:rsid w:val="0033471A"/>
    <w:rsid w:val="003620A9"/>
    <w:rsid w:val="003C6351"/>
    <w:rsid w:val="00434123"/>
    <w:rsid w:val="00453E89"/>
    <w:rsid w:val="004561CB"/>
    <w:rsid w:val="00485C27"/>
    <w:rsid w:val="0049512F"/>
    <w:rsid w:val="004F205D"/>
    <w:rsid w:val="00514989"/>
    <w:rsid w:val="005233E9"/>
    <w:rsid w:val="005B527D"/>
    <w:rsid w:val="00681AE5"/>
    <w:rsid w:val="00721FDF"/>
    <w:rsid w:val="00742E9C"/>
    <w:rsid w:val="007F4DFA"/>
    <w:rsid w:val="00805394"/>
    <w:rsid w:val="008716FB"/>
    <w:rsid w:val="008C26DC"/>
    <w:rsid w:val="008E59E0"/>
    <w:rsid w:val="0099188A"/>
    <w:rsid w:val="00A221CB"/>
    <w:rsid w:val="00AA5D55"/>
    <w:rsid w:val="00AE053A"/>
    <w:rsid w:val="00BB4F1C"/>
    <w:rsid w:val="00C66FA6"/>
    <w:rsid w:val="00CE0C18"/>
    <w:rsid w:val="00DA6AC2"/>
    <w:rsid w:val="00E3090D"/>
    <w:rsid w:val="00E82F2D"/>
    <w:rsid w:val="00ED4CEF"/>
    <w:rsid w:val="00FE4B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53CE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9188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9188A"/>
  </w:style>
  <w:style w:type="paragraph" w:styleId="Stopka">
    <w:name w:val="footer"/>
    <w:basedOn w:val="Normalny"/>
    <w:link w:val="StopkaZnak"/>
    <w:uiPriority w:val="99"/>
    <w:unhideWhenUsed/>
    <w:rsid w:val="0099188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9188A"/>
  </w:style>
  <w:style w:type="paragraph" w:styleId="Akapitzlist">
    <w:name w:val="List Paragraph"/>
    <w:basedOn w:val="Normalny"/>
    <w:uiPriority w:val="34"/>
    <w:qFormat/>
    <w:rsid w:val="001130EA"/>
    <w:pPr>
      <w:ind w:left="720"/>
      <w:contextualSpacing/>
    </w:pPr>
  </w:style>
  <w:style w:type="character" w:styleId="Hipercze">
    <w:name w:val="Hyperlink"/>
    <w:basedOn w:val="Domylnaczcionkaakapitu"/>
    <w:uiPriority w:val="99"/>
    <w:semiHidden/>
    <w:unhideWhenUsed/>
    <w:rsid w:val="001130EA"/>
    <w:rPr>
      <w:color w:val="0000FF"/>
      <w:u w:val="single"/>
    </w:rPr>
  </w:style>
  <w:style w:type="paragraph" w:styleId="Tekstprzypisukocowego">
    <w:name w:val="endnote text"/>
    <w:basedOn w:val="Normalny"/>
    <w:link w:val="TekstprzypisukocowegoZnak"/>
    <w:uiPriority w:val="99"/>
    <w:semiHidden/>
    <w:unhideWhenUsed/>
    <w:rsid w:val="0051498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14989"/>
    <w:rPr>
      <w:sz w:val="20"/>
      <w:szCs w:val="20"/>
    </w:rPr>
  </w:style>
  <w:style w:type="character" w:styleId="Odwoanieprzypisukocowego">
    <w:name w:val="endnote reference"/>
    <w:basedOn w:val="Domylnaczcionkaakapitu"/>
    <w:uiPriority w:val="99"/>
    <w:semiHidden/>
    <w:unhideWhenUsed/>
    <w:rsid w:val="00514989"/>
    <w:rPr>
      <w:vertAlign w:val="superscript"/>
    </w:rPr>
  </w:style>
  <w:style w:type="character" w:customStyle="1" w:styleId="alb-s">
    <w:name w:val="a_lb-s"/>
    <w:basedOn w:val="Domylnaczcionkaakapitu"/>
    <w:rsid w:val="00805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120055">
      <w:bodyDiv w:val="1"/>
      <w:marLeft w:val="0"/>
      <w:marRight w:val="0"/>
      <w:marTop w:val="0"/>
      <w:marBottom w:val="0"/>
      <w:divBdr>
        <w:top w:val="none" w:sz="0" w:space="0" w:color="auto"/>
        <w:left w:val="none" w:sz="0" w:space="0" w:color="auto"/>
        <w:bottom w:val="none" w:sz="0" w:space="0" w:color="auto"/>
        <w:right w:val="none" w:sz="0" w:space="0" w:color="auto"/>
      </w:divBdr>
      <w:divsChild>
        <w:div w:id="340399816">
          <w:marLeft w:val="0"/>
          <w:marRight w:val="0"/>
          <w:marTop w:val="72"/>
          <w:marBottom w:val="0"/>
          <w:divBdr>
            <w:top w:val="none" w:sz="0" w:space="0" w:color="auto"/>
            <w:left w:val="none" w:sz="0" w:space="0" w:color="auto"/>
            <w:bottom w:val="none" w:sz="0" w:space="0" w:color="auto"/>
            <w:right w:val="none" w:sz="0" w:space="0" w:color="auto"/>
          </w:divBdr>
          <w:divsChild>
            <w:div w:id="1271275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642599">
      <w:bodyDiv w:val="1"/>
      <w:marLeft w:val="0"/>
      <w:marRight w:val="0"/>
      <w:marTop w:val="0"/>
      <w:marBottom w:val="0"/>
      <w:divBdr>
        <w:top w:val="none" w:sz="0" w:space="0" w:color="auto"/>
        <w:left w:val="none" w:sz="0" w:space="0" w:color="auto"/>
        <w:bottom w:val="none" w:sz="0" w:space="0" w:color="auto"/>
        <w:right w:val="none" w:sz="0" w:space="0" w:color="auto"/>
      </w:divBdr>
      <w:divsChild>
        <w:div w:id="1221788508">
          <w:marLeft w:val="360"/>
          <w:marRight w:val="0"/>
          <w:marTop w:val="72"/>
          <w:marBottom w:val="72"/>
          <w:divBdr>
            <w:top w:val="none" w:sz="0" w:space="0" w:color="auto"/>
            <w:left w:val="none" w:sz="0" w:space="0" w:color="auto"/>
            <w:bottom w:val="none" w:sz="0" w:space="0" w:color="auto"/>
            <w:right w:val="none" w:sz="0" w:space="0" w:color="auto"/>
          </w:divBdr>
          <w:divsChild>
            <w:div w:id="1893033429">
              <w:marLeft w:val="0"/>
              <w:marRight w:val="0"/>
              <w:marTop w:val="0"/>
              <w:marBottom w:val="0"/>
              <w:divBdr>
                <w:top w:val="none" w:sz="0" w:space="0" w:color="auto"/>
                <w:left w:val="none" w:sz="0" w:space="0" w:color="auto"/>
                <w:bottom w:val="none" w:sz="0" w:space="0" w:color="auto"/>
                <w:right w:val="none" w:sz="0" w:space="0" w:color="auto"/>
              </w:divBdr>
            </w:div>
          </w:divsChild>
        </w:div>
        <w:div w:id="1287928492">
          <w:marLeft w:val="360"/>
          <w:marRight w:val="0"/>
          <w:marTop w:val="0"/>
          <w:marBottom w:val="72"/>
          <w:divBdr>
            <w:top w:val="none" w:sz="0" w:space="0" w:color="auto"/>
            <w:left w:val="none" w:sz="0" w:space="0" w:color="auto"/>
            <w:bottom w:val="none" w:sz="0" w:space="0" w:color="auto"/>
            <w:right w:val="none" w:sz="0" w:space="0" w:color="auto"/>
          </w:divBdr>
          <w:divsChild>
            <w:div w:id="1905137234">
              <w:marLeft w:val="0"/>
              <w:marRight w:val="0"/>
              <w:marTop w:val="0"/>
              <w:marBottom w:val="0"/>
              <w:divBdr>
                <w:top w:val="none" w:sz="0" w:space="0" w:color="auto"/>
                <w:left w:val="none" w:sz="0" w:space="0" w:color="auto"/>
                <w:bottom w:val="none" w:sz="0" w:space="0" w:color="auto"/>
                <w:right w:val="none" w:sz="0" w:space="0" w:color="auto"/>
              </w:divBdr>
            </w:div>
          </w:divsChild>
        </w:div>
        <w:div w:id="1902280065">
          <w:marLeft w:val="360"/>
          <w:marRight w:val="0"/>
          <w:marTop w:val="0"/>
          <w:marBottom w:val="72"/>
          <w:divBdr>
            <w:top w:val="none" w:sz="0" w:space="0" w:color="auto"/>
            <w:left w:val="none" w:sz="0" w:space="0" w:color="auto"/>
            <w:bottom w:val="none" w:sz="0" w:space="0" w:color="auto"/>
            <w:right w:val="none" w:sz="0" w:space="0" w:color="auto"/>
          </w:divBdr>
          <w:divsChild>
            <w:div w:id="166412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4580</Words>
  <Characters>23183</Characters>
  <Application>Microsoft Office Word</Application>
  <DocSecurity>0</DocSecurity>
  <Lines>324</Lines>
  <Paragraphs>35</Paragraphs>
  <ScaleCrop>false</ScaleCrop>
  <Company/>
  <LinksUpToDate>false</LinksUpToDate>
  <CharactersWithSpaces>27731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2026-03-19T13:42:00Z</dcterms:created>
  <dcterms:modified xsi:type="dcterms:W3CDTF">2026-03-19T13:43:00Z</dcterms:modified>
</cp:coreProperties>
</file>